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left"/>
        <w:rPr>
          <w:rFonts w:hint="eastAsia" w:ascii="仿宋" w:hAnsi="仿宋" w:eastAsia="仿宋" w:cs="仿宋"/>
          <w:sz w:val="28"/>
          <w:szCs w:val="28"/>
        </w:rPr>
      </w:pPr>
      <w:r>
        <w:rPr>
          <w:rFonts w:hint="eastAsia" w:ascii="仿宋" w:hAnsi="仿宋" w:eastAsia="仿宋" w:cs="仿宋"/>
          <w:sz w:val="28"/>
          <w:szCs w:val="28"/>
        </w:rPr>
        <w:t>附件1:</w:t>
      </w:r>
    </w:p>
    <w:p>
      <w:pPr>
        <w:spacing w:after="156" w:afterLines="50" w:line="360" w:lineRule="auto"/>
        <w:jc w:val="left"/>
        <w:rPr>
          <w:rFonts w:hint="eastAsia"/>
          <w:b/>
          <w:sz w:val="44"/>
          <w:szCs w:val="44"/>
        </w:rPr>
      </w:pPr>
    </w:p>
    <w:p>
      <w:pPr>
        <w:spacing w:after="156" w:afterLines="50" w:line="360" w:lineRule="auto"/>
        <w:jc w:val="center"/>
        <w:rPr>
          <w:rFonts w:hint="eastAsia"/>
          <w:b/>
          <w:sz w:val="44"/>
          <w:szCs w:val="44"/>
        </w:rPr>
      </w:pPr>
      <w:r>
        <w:rPr>
          <w:rFonts w:hint="eastAsia"/>
          <w:b/>
          <w:sz w:val="44"/>
          <w:szCs w:val="44"/>
        </w:rPr>
        <w:t>贵州省行政区域内工程建设类招标代理企业</w:t>
      </w:r>
    </w:p>
    <w:p>
      <w:pPr>
        <w:spacing w:after="156" w:afterLines="50" w:line="360" w:lineRule="auto"/>
        <w:jc w:val="center"/>
        <w:rPr>
          <w:b/>
          <w:sz w:val="44"/>
          <w:szCs w:val="44"/>
        </w:rPr>
      </w:pPr>
      <w:r>
        <w:rPr>
          <w:b/>
          <w:sz w:val="44"/>
          <w:szCs w:val="44"/>
        </w:rPr>
        <w:t>信用评价暂行办法</w:t>
      </w:r>
    </w:p>
    <w:p>
      <w:pPr>
        <w:spacing w:after="156" w:afterLines="50" w:line="360" w:lineRule="auto"/>
        <w:jc w:val="center"/>
        <w:rPr>
          <w:rFonts w:hint="eastAsia"/>
          <w:b/>
          <w:sz w:val="28"/>
          <w:szCs w:val="28"/>
        </w:rPr>
      </w:pPr>
    </w:p>
    <w:p>
      <w:pPr>
        <w:spacing w:after="156" w:afterLines="50" w:line="360" w:lineRule="auto"/>
        <w:ind w:firstLine="606"/>
        <w:rPr>
          <w:rFonts w:hint="eastAsia" w:ascii="仿宋" w:hAnsi="仿宋" w:eastAsia="仿宋" w:cs="仿宋"/>
          <w:b/>
          <w:sz w:val="28"/>
          <w:szCs w:val="28"/>
        </w:rPr>
      </w:pPr>
      <w:r>
        <w:rPr>
          <w:rFonts w:hint="eastAsia" w:ascii="仿宋" w:hAnsi="仿宋" w:eastAsia="仿宋" w:cs="仿宋"/>
          <w:b/>
          <w:sz w:val="28"/>
          <w:szCs w:val="28"/>
        </w:rPr>
        <w:t xml:space="preserve">第一条 </w:t>
      </w:r>
      <w:r>
        <w:rPr>
          <w:rFonts w:hint="eastAsia" w:ascii="仿宋" w:hAnsi="仿宋" w:eastAsia="仿宋" w:cs="仿宋"/>
          <w:sz w:val="28"/>
          <w:szCs w:val="28"/>
        </w:rPr>
        <w:t>为贯彻落实《全国人民代表大会常务委员会关于修改&lt;中华人民共和国招标投标法&gt;、&lt;中华人民共和国计量法&gt;的决定》以及《住房城乡建设部办公厅关于取消工程建设项目招标代理机构资格认定加强事中事后监管的通知》（建办市[2017]77号），规范工程招标代理行为，维护建筑市场秩序，加强对招标代理机构和从业人员行为的约束和管理，开展招标代理机构资信评价工作，结合贵州省工程建设项目招标投标的实际，制定本办法。</w:t>
      </w:r>
    </w:p>
    <w:p>
      <w:pPr>
        <w:spacing w:after="156" w:afterLines="50" w:line="360" w:lineRule="auto"/>
        <w:ind w:firstLine="606"/>
        <w:rPr>
          <w:rFonts w:hint="eastAsia" w:ascii="仿宋" w:hAnsi="仿宋" w:eastAsia="仿宋" w:cs="仿宋"/>
          <w:bCs/>
          <w:sz w:val="28"/>
          <w:szCs w:val="28"/>
        </w:rPr>
      </w:pPr>
      <w:r>
        <w:rPr>
          <w:rFonts w:hint="eastAsia" w:ascii="仿宋" w:hAnsi="仿宋" w:eastAsia="仿宋" w:cs="仿宋"/>
          <w:b/>
          <w:sz w:val="28"/>
          <w:szCs w:val="28"/>
        </w:rPr>
        <w:t xml:space="preserve">第二条 </w:t>
      </w:r>
      <w:r>
        <w:rPr>
          <w:rFonts w:hint="eastAsia" w:ascii="仿宋" w:hAnsi="仿宋" w:eastAsia="仿宋" w:cs="仿宋"/>
          <w:bCs/>
          <w:sz w:val="28"/>
          <w:szCs w:val="28"/>
        </w:rPr>
        <w:t>本办法所称的信用评价，是指</w:t>
      </w:r>
      <w:r>
        <w:rPr>
          <w:rFonts w:hint="eastAsia" w:ascii="仿宋" w:hAnsi="仿宋" w:eastAsia="仿宋" w:cs="仿宋"/>
          <w:sz w:val="28"/>
          <w:szCs w:val="28"/>
        </w:rPr>
        <w:t>按照规定的程序和方法</w:t>
      </w:r>
      <w:r>
        <w:rPr>
          <w:rFonts w:hint="eastAsia" w:ascii="仿宋" w:hAnsi="仿宋" w:eastAsia="仿宋" w:cs="仿宋"/>
          <w:bCs/>
          <w:sz w:val="28"/>
          <w:szCs w:val="28"/>
        </w:rPr>
        <w:t>对招标代理企业的基本状况、管理能力、经济能力、履约信誉、社会责任和信用记录等开展评价并确定信用等级的活动。</w:t>
      </w:r>
    </w:p>
    <w:p>
      <w:pPr>
        <w:adjustRightInd w:val="0"/>
        <w:snapToGrid w:val="0"/>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第三条 </w:t>
      </w:r>
      <w:r>
        <w:rPr>
          <w:rFonts w:hint="eastAsia" w:ascii="仿宋" w:hAnsi="仿宋" w:eastAsia="仿宋" w:cs="仿宋"/>
          <w:sz w:val="28"/>
          <w:szCs w:val="28"/>
        </w:rPr>
        <w:t>贵州省建设工程招标投标协会（以下简称：省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标协会）对贵州省行政区域内工程建设类招标代理企业进行信用评价及监督管理，适用本办法。</w:t>
      </w:r>
    </w:p>
    <w:p>
      <w:pPr>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第四条  </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标协会负责贵州省行政区域内工程建设类招标代理企业信用评价的组织和管理工作。</w:t>
      </w:r>
    </w:p>
    <w:p>
      <w:pPr>
        <w:adjustRightInd w:val="0"/>
        <w:snapToGrid w:val="0"/>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第五条  </w:t>
      </w:r>
      <w:r>
        <w:rPr>
          <w:rFonts w:hint="eastAsia" w:ascii="仿宋" w:hAnsi="仿宋" w:eastAsia="仿宋" w:cs="仿宋"/>
          <w:sz w:val="28"/>
          <w:szCs w:val="28"/>
        </w:rPr>
        <w:t>信用评价工作遵循以下原则：</w:t>
      </w:r>
    </w:p>
    <w:p>
      <w:pPr>
        <w:adjustRightInd w:val="0"/>
        <w:snapToGrid w:val="0"/>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（一）政府引导、行业自律；</w:t>
      </w:r>
    </w:p>
    <w:p>
      <w:pPr>
        <w:adjustRightInd w:val="0"/>
        <w:snapToGrid w:val="0"/>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（二）行业发展导向与现实相结合；</w:t>
      </w:r>
    </w:p>
    <w:p>
      <w:pPr>
        <w:adjustRightInd w:val="0"/>
        <w:snapToGrid w:val="0"/>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（三）独立、客观、公正、科学；</w:t>
      </w:r>
    </w:p>
    <w:p>
      <w:pPr>
        <w:adjustRightInd w:val="0"/>
        <w:snapToGrid w:val="0"/>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（四）保守国家秘密、商业秘密和个人隐私。</w:t>
      </w:r>
    </w:p>
    <w:p>
      <w:pPr>
        <w:spacing w:after="156" w:afterLines="50" w:line="360" w:lineRule="auto"/>
        <w:ind w:firstLine="757"/>
        <w:rPr>
          <w:rFonts w:hint="eastAsia" w:ascii="仿宋" w:hAnsi="仿宋" w:eastAsia="仿宋" w:cs="仿宋"/>
          <w:bCs/>
          <w:sz w:val="28"/>
          <w:szCs w:val="28"/>
        </w:rPr>
      </w:pPr>
      <w:r>
        <w:rPr>
          <w:rFonts w:hint="eastAsia" w:ascii="仿宋" w:hAnsi="仿宋" w:eastAsia="仿宋" w:cs="仿宋"/>
          <w:b/>
          <w:sz w:val="28"/>
          <w:szCs w:val="28"/>
        </w:rPr>
        <w:t xml:space="preserve">第六条 </w:t>
      </w:r>
      <w:r>
        <w:rPr>
          <w:rFonts w:hint="eastAsia" w:ascii="仿宋" w:hAnsi="仿宋" w:eastAsia="仿宋" w:cs="仿宋"/>
          <w:sz w:val="28"/>
          <w:szCs w:val="28"/>
        </w:rPr>
        <w:t>信用评价工作依据：</w:t>
      </w:r>
    </w:p>
    <w:p>
      <w:pPr>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（一）国家有关法律、法规规章等；</w:t>
      </w:r>
    </w:p>
    <w:p>
      <w:pPr>
        <w:spacing w:after="156" w:afterLines="50" w:line="360" w:lineRule="auto"/>
        <w:ind w:firstLine="560"/>
        <w:rPr>
          <w:rFonts w:hint="eastAsia" w:ascii="仿宋" w:hAnsi="仿宋" w:eastAsia="仿宋" w:cs="仿宋"/>
          <w:sz w:val="28"/>
          <w:szCs w:val="28"/>
        </w:rPr>
      </w:pPr>
      <w:r>
        <w:rPr>
          <w:rFonts w:hint="eastAsia" w:ascii="仿宋" w:hAnsi="仿宋" w:eastAsia="仿宋" w:cs="仿宋"/>
          <w:sz w:val="28"/>
          <w:szCs w:val="28"/>
        </w:rPr>
        <w:t>（二）行业规范性文件、规定及标准等；</w:t>
      </w:r>
    </w:p>
    <w:p>
      <w:pPr>
        <w:spacing w:after="156" w:afterLines="50" w:line="360" w:lineRule="auto"/>
        <w:ind w:firstLine="560"/>
        <w:rPr>
          <w:rFonts w:hint="eastAsia" w:ascii="仿宋" w:hAnsi="仿宋" w:eastAsia="仿宋" w:cs="仿宋"/>
          <w:bCs/>
          <w:sz w:val="28"/>
          <w:szCs w:val="28"/>
        </w:rPr>
      </w:pPr>
      <w:r>
        <w:rPr>
          <w:rFonts w:hint="eastAsia" w:ascii="仿宋" w:hAnsi="仿宋" w:eastAsia="仿宋" w:cs="仿宋"/>
          <w:bCs/>
          <w:sz w:val="28"/>
          <w:szCs w:val="28"/>
        </w:rPr>
        <w:t>（三）政府及政府机关的表彰、奖励、行政处罚决定、</w:t>
      </w:r>
      <w:r>
        <w:rPr>
          <w:rFonts w:hint="eastAsia" w:ascii="仿宋" w:hAnsi="仿宋" w:eastAsia="仿宋" w:cs="仿宋"/>
          <w:sz w:val="28"/>
          <w:szCs w:val="28"/>
        </w:rPr>
        <w:t>专项检查、核查、抽查结果等</w:t>
      </w:r>
      <w:r>
        <w:rPr>
          <w:rFonts w:hint="eastAsia" w:ascii="仿宋" w:hAnsi="仿宋" w:eastAsia="仿宋" w:cs="仿宋"/>
          <w:bCs/>
          <w:sz w:val="28"/>
          <w:szCs w:val="28"/>
        </w:rPr>
        <w:t>；</w:t>
      </w:r>
    </w:p>
    <w:p>
      <w:pPr>
        <w:spacing w:after="156" w:afterLines="50" w:line="360" w:lineRule="auto"/>
        <w:ind w:firstLine="560"/>
        <w:rPr>
          <w:rFonts w:hint="eastAsia" w:ascii="仿宋" w:hAnsi="仿宋" w:eastAsia="仿宋" w:cs="仿宋"/>
          <w:bCs/>
          <w:sz w:val="28"/>
          <w:szCs w:val="28"/>
        </w:rPr>
      </w:pPr>
      <w:r>
        <w:rPr>
          <w:rFonts w:hint="eastAsia" w:ascii="仿宋" w:hAnsi="仿宋" w:eastAsia="仿宋" w:cs="仿宋"/>
          <w:bCs/>
          <w:sz w:val="28"/>
          <w:szCs w:val="28"/>
        </w:rPr>
        <w:t>（四）行政或司法机关的处罚通知书、判决书等；</w:t>
      </w:r>
    </w:p>
    <w:p>
      <w:pPr>
        <w:spacing w:after="156" w:afterLines="50" w:line="360" w:lineRule="auto"/>
        <w:ind w:firstLine="560"/>
        <w:rPr>
          <w:rFonts w:hint="eastAsia" w:ascii="仿宋" w:hAnsi="仿宋" w:eastAsia="仿宋" w:cs="仿宋"/>
          <w:bCs/>
          <w:sz w:val="28"/>
          <w:szCs w:val="28"/>
        </w:rPr>
      </w:pPr>
      <w:r>
        <w:rPr>
          <w:rFonts w:hint="eastAsia" w:ascii="仿宋" w:hAnsi="仿宋" w:eastAsia="仿宋" w:cs="仿宋"/>
          <w:bCs/>
          <w:sz w:val="28"/>
          <w:szCs w:val="28"/>
        </w:rPr>
        <w:t>（五）</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w:t>
      </w:r>
      <w:r>
        <w:rPr>
          <w:rFonts w:hint="eastAsia" w:ascii="仿宋" w:hAnsi="仿宋" w:eastAsia="仿宋" w:cs="仿宋"/>
          <w:bCs/>
          <w:sz w:val="28"/>
          <w:szCs w:val="28"/>
        </w:rPr>
        <w:t>的表彰、奖励、惩戒决定文件，</w:t>
      </w:r>
      <w:r>
        <w:rPr>
          <w:rFonts w:hint="eastAsia" w:ascii="仿宋" w:hAnsi="仿宋" w:eastAsia="仿宋" w:cs="仿宋"/>
          <w:color w:val="000000"/>
          <w:sz w:val="28"/>
          <w:szCs w:val="28"/>
        </w:rPr>
        <w:t>专项检查、核查、抽查结果</w:t>
      </w:r>
      <w:r>
        <w:rPr>
          <w:rFonts w:hint="eastAsia" w:ascii="仿宋" w:hAnsi="仿宋" w:eastAsia="仿宋" w:cs="仿宋"/>
          <w:bCs/>
          <w:sz w:val="28"/>
          <w:szCs w:val="28"/>
        </w:rPr>
        <w:t>；</w:t>
      </w:r>
    </w:p>
    <w:p>
      <w:pPr>
        <w:spacing w:after="156" w:afterLines="50" w:line="360" w:lineRule="auto"/>
        <w:ind w:firstLine="560"/>
        <w:rPr>
          <w:rFonts w:hint="eastAsia" w:ascii="仿宋" w:hAnsi="仿宋" w:eastAsia="仿宋" w:cs="仿宋"/>
          <w:bCs/>
          <w:sz w:val="28"/>
          <w:szCs w:val="28"/>
        </w:rPr>
      </w:pPr>
      <w:r>
        <w:rPr>
          <w:rFonts w:hint="eastAsia" w:ascii="仿宋" w:hAnsi="仿宋" w:eastAsia="仿宋" w:cs="仿宋"/>
          <w:bCs/>
          <w:sz w:val="28"/>
          <w:szCs w:val="28"/>
        </w:rPr>
        <w:t>（六）企业信用档案信用信息；</w:t>
      </w:r>
    </w:p>
    <w:p>
      <w:pPr>
        <w:spacing w:after="156" w:afterLines="50" w:line="360" w:lineRule="auto"/>
        <w:ind w:firstLine="560"/>
        <w:rPr>
          <w:rFonts w:hint="eastAsia" w:ascii="仿宋" w:hAnsi="仿宋" w:eastAsia="仿宋" w:cs="仿宋"/>
          <w:bCs/>
          <w:sz w:val="28"/>
          <w:szCs w:val="28"/>
        </w:rPr>
      </w:pPr>
      <w:r>
        <w:rPr>
          <w:rFonts w:hint="eastAsia" w:ascii="仿宋" w:hAnsi="仿宋" w:eastAsia="仿宋" w:cs="仿宋"/>
          <w:bCs/>
          <w:sz w:val="28"/>
          <w:szCs w:val="28"/>
        </w:rPr>
        <w:t>（七）其它相关信用信息等。</w:t>
      </w:r>
    </w:p>
    <w:p>
      <w:pPr>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第七条</w:t>
      </w:r>
      <w:r>
        <w:rPr>
          <w:rFonts w:hint="eastAsia" w:ascii="仿宋" w:hAnsi="仿宋" w:eastAsia="仿宋" w:cs="仿宋"/>
          <w:sz w:val="28"/>
          <w:szCs w:val="28"/>
        </w:rPr>
        <w:t xml:space="preserve">  信用评价等级分为</w:t>
      </w:r>
      <w:r>
        <w:rPr>
          <w:rFonts w:hint="eastAsia" w:ascii="仿宋" w:hAnsi="仿宋" w:eastAsia="仿宋" w:cs="仿宋"/>
          <w:sz w:val="28"/>
          <w:szCs w:val="28"/>
          <w:lang w:val="en-US" w:eastAsia="zh-CN"/>
        </w:rPr>
        <w:t>AAAAA</w:t>
      </w:r>
      <w:r>
        <w:rPr>
          <w:rFonts w:hint="eastAsia" w:ascii="仿宋" w:hAnsi="仿宋" w:eastAsia="仿宋" w:cs="仿宋"/>
          <w:sz w:val="28"/>
          <w:szCs w:val="28"/>
        </w:rPr>
        <w:t>、</w:t>
      </w:r>
      <w:r>
        <w:rPr>
          <w:rFonts w:hint="eastAsia" w:ascii="仿宋" w:hAnsi="仿宋" w:eastAsia="仿宋" w:cs="仿宋"/>
          <w:sz w:val="28"/>
          <w:szCs w:val="28"/>
          <w:lang w:val="en-US" w:eastAsia="zh-CN"/>
        </w:rPr>
        <w:t>AAAA</w:t>
      </w:r>
      <w:r>
        <w:rPr>
          <w:rFonts w:hint="eastAsia" w:ascii="仿宋" w:hAnsi="仿宋" w:eastAsia="仿宋" w:cs="仿宋"/>
          <w:sz w:val="28"/>
          <w:szCs w:val="28"/>
        </w:rPr>
        <w:t>、</w:t>
      </w:r>
      <w:r>
        <w:rPr>
          <w:rFonts w:hint="eastAsia" w:ascii="仿宋" w:hAnsi="仿宋" w:eastAsia="仿宋" w:cs="仿宋"/>
          <w:sz w:val="28"/>
          <w:szCs w:val="28"/>
          <w:lang w:val="en-US" w:eastAsia="zh-CN"/>
        </w:rPr>
        <w:t>AAA</w:t>
      </w:r>
      <w:r>
        <w:rPr>
          <w:rFonts w:hint="eastAsia" w:ascii="仿宋" w:hAnsi="仿宋" w:eastAsia="仿宋" w:cs="仿宋"/>
          <w:sz w:val="28"/>
          <w:szCs w:val="28"/>
        </w:rPr>
        <w:t>、</w:t>
      </w:r>
      <w:r>
        <w:rPr>
          <w:rFonts w:hint="eastAsia" w:ascii="仿宋" w:hAnsi="仿宋" w:eastAsia="仿宋" w:cs="仿宋"/>
          <w:sz w:val="28"/>
          <w:szCs w:val="28"/>
          <w:lang w:val="en-US" w:eastAsia="zh-CN"/>
        </w:rPr>
        <w:t>AA</w:t>
      </w:r>
      <w:r>
        <w:rPr>
          <w:rFonts w:hint="eastAsia" w:ascii="仿宋" w:hAnsi="仿宋" w:eastAsia="仿宋" w:cs="仿宋"/>
          <w:sz w:val="28"/>
          <w:szCs w:val="28"/>
        </w:rPr>
        <w:t>四个等级。</w:t>
      </w:r>
    </w:p>
    <w:p>
      <w:pPr>
        <w:spacing w:after="156" w:afterLines="50" w:line="360" w:lineRule="auto"/>
        <w:ind w:firstLine="594"/>
        <w:rPr>
          <w:rFonts w:hint="eastAsia" w:ascii="仿宋" w:hAnsi="仿宋" w:eastAsia="仿宋" w:cs="仿宋"/>
          <w:sz w:val="28"/>
          <w:szCs w:val="28"/>
        </w:rPr>
      </w:pPr>
      <w:r>
        <w:rPr>
          <w:rFonts w:hint="eastAsia" w:ascii="仿宋" w:hAnsi="仿宋" w:eastAsia="仿宋" w:cs="仿宋"/>
          <w:b/>
          <w:sz w:val="28"/>
          <w:szCs w:val="28"/>
        </w:rPr>
        <w:t xml:space="preserve">第八条  </w:t>
      </w:r>
      <w:r>
        <w:rPr>
          <w:rFonts w:hint="eastAsia" w:ascii="仿宋" w:hAnsi="仿宋" w:eastAsia="仿宋" w:cs="仿宋"/>
          <w:sz w:val="28"/>
          <w:szCs w:val="28"/>
        </w:rPr>
        <w:t>信用评价实行评分制。</w:t>
      </w:r>
    </w:p>
    <w:p>
      <w:pPr>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第九条  </w:t>
      </w:r>
      <w:r>
        <w:rPr>
          <w:rFonts w:hint="eastAsia" w:ascii="仿宋" w:hAnsi="仿宋" w:eastAsia="仿宋" w:cs="仿宋"/>
          <w:sz w:val="28"/>
          <w:szCs w:val="28"/>
        </w:rPr>
        <w:t>信用评价工作定期开展，原则上</w:t>
      </w:r>
      <w:r>
        <w:rPr>
          <w:rFonts w:hint="eastAsia" w:ascii="仿宋" w:hAnsi="仿宋" w:eastAsia="仿宋" w:cs="仿宋"/>
          <w:sz w:val="28"/>
          <w:szCs w:val="28"/>
          <w:lang w:eastAsia="zh-CN"/>
        </w:rPr>
        <w:t>二</w:t>
      </w:r>
      <w:r>
        <w:rPr>
          <w:rFonts w:hint="eastAsia" w:ascii="仿宋" w:hAnsi="仿宋" w:eastAsia="仿宋" w:cs="仿宋"/>
          <w:sz w:val="28"/>
          <w:szCs w:val="28"/>
        </w:rPr>
        <w:t>年一次。在贵州省行政区域内开展工程建设招标代理企业</w:t>
      </w:r>
      <w:r>
        <w:rPr>
          <w:rFonts w:hint="eastAsia" w:ascii="仿宋" w:hAnsi="仿宋" w:eastAsia="仿宋" w:cs="仿宋"/>
          <w:sz w:val="28"/>
          <w:szCs w:val="28"/>
          <w:lang w:eastAsia="zh-CN"/>
        </w:rPr>
        <w:t>自愿</w:t>
      </w:r>
      <w:r>
        <w:rPr>
          <w:rFonts w:hint="eastAsia" w:ascii="仿宋" w:hAnsi="仿宋" w:eastAsia="仿宋" w:cs="仿宋"/>
          <w:sz w:val="28"/>
          <w:szCs w:val="28"/>
        </w:rPr>
        <w:t>参评。</w:t>
      </w:r>
    </w:p>
    <w:p>
      <w:pPr>
        <w:spacing w:after="156" w:afterLines="50" w:line="360" w:lineRule="auto"/>
        <w:ind w:firstLine="606"/>
        <w:rPr>
          <w:rFonts w:hint="eastAsia" w:ascii="仿宋" w:hAnsi="仿宋" w:eastAsia="仿宋" w:cs="仿宋"/>
          <w:bCs/>
          <w:sz w:val="28"/>
          <w:szCs w:val="28"/>
        </w:rPr>
      </w:pPr>
      <w:r>
        <w:rPr>
          <w:rFonts w:hint="eastAsia" w:ascii="仿宋" w:hAnsi="仿宋" w:eastAsia="仿宋" w:cs="仿宋"/>
          <w:b/>
          <w:sz w:val="28"/>
          <w:szCs w:val="28"/>
        </w:rPr>
        <w:t xml:space="preserve">第十条  </w:t>
      </w:r>
      <w:r>
        <w:rPr>
          <w:rFonts w:hint="eastAsia" w:ascii="仿宋" w:hAnsi="仿宋" w:eastAsia="仿宋" w:cs="仿宋"/>
          <w:sz w:val="28"/>
          <w:szCs w:val="28"/>
        </w:rPr>
        <w:t>申请信用评价的招标代理企业，应按照省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标协会的要求报送材料，应对提交材料的真实性、有效性负责。</w:t>
      </w:r>
    </w:p>
    <w:p>
      <w:pPr>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第十一条 </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标协会受理申请后，按照本办法和《贵州省行政区域内工程建设类招标代理企业基本信用评价和记分标准（试行）》等予以信用评价。</w:t>
      </w:r>
    </w:p>
    <w:p>
      <w:pPr>
        <w:adjustRightInd w:val="0"/>
        <w:snapToGrid w:val="0"/>
        <w:spacing w:after="156" w:afterLines="50" w:line="360" w:lineRule="auto"/>
        <w:ind w:firstLine="200"/>
        <w:rPr>
          <w:rFonts w:hint="eastAsia" w:ascii="仿宋" w:hAnsi="仿宋" w:eastAsia="仿宋" w:cs="仿宋"/>
          <w:sz w:val="28"/>
          <w:szCs w:val="28"/>
        </w:rPr>
      </w:pPr>
      <w:r>
        <w:rPr>
          <w:rFonts w:hint="eastAsia" w:ascii="仿宋" w:hAnsi="仿宋" w:eastAsia="仿宋" w:cs="仿宋"/>
          <w:b/>
          <w:sz w:val="28"/>
          <w:szCs w:val="28"/>
        </w:rPr>
        <w:t xml:space="preserve">   第十二条 </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标协会可根据需要在宣布评价结果前，对申请单位的申报信息</w:t>
      </w:r>
      <w:r>
        <w:rPr>
          <w:rFonts w:hint="eastAsia" w:ascii="仿宋" w:hAnsi="仿宋" w:eastAsia="仿宋" w:cs="仿宋"/>
          <w:sz w:val="28"/>
          <w:szCs w:val="28"/>
          <w:lang w:eastAsia="zh-CN"/>
        </w:rPr>
        <w:t>可</w:t>
      </w:r>
      <w:r>
        <w:rPr>
          <w:rFonts w:hint="eastAsia" w:ascii="仿宋" w:hAnsi="仿宋" w:eastAsia="仿宋" w:cs="仿宋"/>
          <w:sz w:val="28"/>
          <w:szCs w:val="28"/>
        </w:rPr>
        <w:t>进行现场调查核实。</w:t>
      </w:r>
    </w:p>
    <w:p>
      <w:pPr>
        <w:adjustRightInd w:val="0"/>
        <w:snapToGrid w:val="0"/>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第十三条  </w:t>
      </w:r>
      <w:r>
        <w:rPr>
          <w:rFonts w:hint="eastAsia" w:ascii="仿宋" w:hAnsi="仿宋" w:eastAsia="仿宋" w:cs="仿宋"/>
          <w:sz w:val="28"/>
          <w:szCs w:val="28"/>
        </w:rPr>
        <w:t>信用评价结果在省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标协会网站进行公示，接受社会监督。</w:t>
      </w:r>
    </w:p>
    <w:p>
      <w:pPr>
        <w:adjustRightInd w:val="0"/>
        <w:snapToGrid w:val="0"/>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第十四条  </w:t>
      </w:r>
      <w:r>
        <w:rPr>
          <w:rFonts w:hint="eastAsia" w:ascii="仿宋" w:hAnsi="仿宋" w:eastAsia="仿宋" w:cs="仿宋"/>
          <w:sz w:val="28"/>
          <w:szCs w:val="28"/>
        </w:rPr>
        <w:t>对信用评价结果有异议的，应当在公示期满前，向省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标协会实名书面提出异议，说明理由，并提供书面证明材料。</w:t>
      </w:r>
    </w:p>
    <w:p>
      <w:pPr>
        <w:adjustRightInd w:val="0"/>
        <w:snapToGrid w:val="0"/>
        <w:spacing w:after="156" w:afterLines="50" w:line="360" w:lineRule="auto"/>
        <w:ind w:firstLine="606"/>
        <w:rPr>
          <w:rFonts w:hint="eastAsia" w:ascii="仿宋" w:hAnsi="仿宋" w:eastAsia="仿宋" w:cs="仿宋"/>
          <w:sz w:val="28"/>
          <w:szCs w:val="28"/>
        </w:rPr>
      </w:pPr>
      <w:r>
        <w:rPr>
          <w:rFonts w:hint="eastAsia" w:ascii="仿宋" w:hAnsi="仿宋" w:eastAsia="仿宋" w:cs="仿宋"/>
          <w:b/>
          <w:sz w:val="28"/>
          <w:szCs w:val="28"/>
        </w:rPr>
        <w:t xml:space="preserve">第十五条 </w:t>
      </w:r>
      <w:r>
        <w:rPr>
          <w:rFonts w:hint="eastAsia" w:ascii="仿宋" w:hAnsi="仿宋" w:eastAsia="仿宋" w:cs="仿宋"/>
          <w:sz w:val="28"/>
          <w:szCs w:val="28"/>
        </w:rPr>
        <w:t xml:space="preserve"> 信用评价结果确定后，将信用评价的结果在公共媒体公布，并颁发信用评价等级证书。信用评价的相关信息在省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标协会网站等媒体向社会公开，并提供查询。</w:t>
      </w:r>
    </w:p>
    <w:p>
      <w:pPr>
        <w:spacing w:after="156" w:afterLines="50" w:line="360" w:lineRule="auto"/>
        <w:ind w:firstLine="606"/>
        <w:rPr>
          <w:rFonts w:hint="eastAsia" w:ascii="仿宋" w:hAnsi="仿宋" w:eastAsia="仿宋" w:cs="仿宋"/>
          <w:bCs/>
          <w:sz w:val="28"/>
          <w:szCs w:val="28"/>
        </w:rPr>
      </w:pPr>
      <w:r>
        <w:rPr>
          <w:rFonts w:hint="eastAsia" w:ascii="仿宋" w:hAnsi="仿宋" w:eastAsia="仿宋" w:cs="仿宋"/>
          <w:b/>
          <w:sz w:val="28"/>
          <w:szCs w:val="28"/>
        </w:rPr>
        <w:t>第十六条</w:t>
      </w:r>
      <w:r>
        <w:rPr>
          <w:rFonts w:hint="eastAsia" w:ascii="仿宋" w:hAnsi="仿宋" w:eastAsia="仿宋" w:cs="仿宋"/>
          <w:b/>
          <w:bCs/>
          <w:sz w:val="28"/>
          <w:szCs w:val="28"/>
        </w:rPr>
        <w:t xml:space="preserve">  </w:t>
      </w:r>
      <w:r>
        <w:rPr>
          <w:rFonts w:hint="eastAsia" w:ascii="仿宋" w:hAnsi="仿宋" w:eastAsia="仿宋" w:cs="仿宋"/>
          <w:bCs/>
          <w:sz w:val="28"/>
          <w:szCs w:val="28"/>
        </w:rPr>
        <w:t>招标代理企业信用评价等级证书有效期为</w:t>
      </w:r>
      <w:r>
        <w:rPr>
          <w:rFonts w:hint="eastAsia" w:ascii="仿宋" w:hAnsi="仿宋" w:eastAsia="仿宋" w:cs="仿宋"/>
          <w:bCs/>
          <w:sz w:val="28"/>
          <w:szCs w:val="28"/>
          <w:lang w:eastAsia="zh-CN"/>
        </w:rPr>
        <w:t>二</w:t>
      </w:r>
      <w:r>
        <w:rPr>
          <w:rFonts w:hint="eastAsia" w:ascii="仿宋" w:hAnsi="仿宋" w:eastAsia="仿宋" w:cs="仿宋"/>
          <w:bCs/>
          <w:sz w:val="28"/>
          <w:szCs w:val="28"/>
        </w:rPr>
        <w:t>年，信用评价等级证书由</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w:t>
      </w:r>
      <w:r>
        <w:rPr>
          <w:rFonts w:hint="eastAsia" w:ascii="仿宋" w:hAnsi="仿宋" w:eastAsia="仿宋" w:cs="仿宋"/>
          <w:bCs/>
          <w:sz w:val="28"/>
          <w:szCs w:val="28"/>
        </w:rPr>
        <w:t>统一印制和管理。</w:t>
      </w:r>
    </w:p>
    <w:p>
      <w:pPr>
        <w:adjustRightInd w:val="0"/>
        <w:snapToGrid w:val="0"/>
        <w:spacing w:after="156" w:afterLines="50" w:line="360" w:lineRule="auto"/>
        <w:ind w:firstLine="606"/>
        <w:rPr>
          <w:rFonts w:hint="eastAsia" w:ascii="仿宋" w:hAnsi="仿宋" w:eastAsia="仿宋" w:cs="仿宋"/>
          <w:b/>
          <w:sz w:val="28"/>
          <w:szCs w:val="28"/>
        </w:rPr>
      </w:pPr>
      <w:r>
        <w:rPr>
          <w:rFonts w:hint="eastAsia" w:ascii="仿宋" w:hAnsi="仿宋" w:eastAsia="仿宋" w:cs="仿宋"/>
          <w:b/>
          <w:sz w:val="28"/>
          <w:szCs w:val="28"/>
        </w:rPr>
        <w:t xml:space="preserve">第十七条  </w:t>
      </w:r>
      <w:r>
        <w:rPr>
          <w:rFonts w:hint="eastAsia" w:ascii="仿宋" w:hAnsi="仿宋" w:eastAsia="仿宋" w:cs="仿宋"/>
          <w:bCs/>
          <w:sz w:val="28"/>
          <w:szCs w:val="28"/>
        </w:rPr>
        <w:t>信用等级</w:t>
      </w:r>
      <w:r>
        <w:rPr>
          <w:rFonts w:hint="eastAsia" w:ascii="仿宋" w:hAnsi="仿宋" w:eastAsia="仿宋" w:cs="仿宋"/>
          <w:sz w:val="28"/>
          <w:szCs w:val="28"/>
        </w:rPr>
        <w:t>证书期满前，应重新申请信用评价。</w:t>
      </w:r>
    </w:p>
    <w:p>
      <w:pPr>
        <w:spacing w:after="156" w:afterLines="50" w:line="360" w:lineRule="auto"/>
        <w:ind w:firstLine="594"/>
        <w:rPr>
          <w:rFonts w:hint="eastAsia" w:ascii="仿宋" w:hAnsi="仿宋" w:eastAsia="仿宋" w:cs="仿宋"/>
          <w:sz w:val="28"/>
          <w:szCs w:val="28"/>
        </w:rPr>
      </w:pPr>
      <w:r>
        <w:rPr>
          <w:rFonts w:hint="eastAsia" w:ascii="仿宋" w:hAnsi="仿宋" w:eastAsia="仿宋" w:cs="仿宋"/>
          <w:b/>
          <w:sz w:val="28"/>
          <w:szCs w:val="28"/>
        </w:rPr>
        <w:t xml:space="preserve">第十八条  </w:t>
      </w:r>
      <w:r>
        <w:rPr>
          <w:rFonts w:hint="eastAsia" w:ascii="仿宋" w:hAnsi="仿宋" w:eastAsia="仿宋" w:cs="仿宋"/>
          <w:bCs/>
          <w:sz w:val="28"/>
          <w:szCs w:val="28"/>
        </w:rPr>
        <w:t>本办法由</w:t>
      </w:r>
      <w:r>
        <w:rPr>
          <w:rFonts w:hint="eastAsia" w:ascii="仿宋" w:hAnsi="仿宋" w:eastAsia="仿宋" w:cs="仿宋"/>
          <w:sz w:val="28"/>
          <w:szCs w:val="28"/>
        </w:rPr>
        <w:t>省</w:t>
      </w:r>
      <w:r>
        <w:rPr>
          <w:rFonts w:hint="eastAsia" w:ascii="仿宋" w:hAnsi="仿宋" w:eastAsia="仿宋" w:cs="仿宋"/>
          <w:sz w:val="28"/>
          <w:szCs w:val="28"/>
          <w:lang w:eastAsia="zh-CN"/>
        </w:rPr>
        <w:t>建设工程</w:t>
      </w:r>
      <w:r>
        <w:rPr>
          <w:rFonts w:hint="eastAsia" w:ascii="仿宋" w:hAnsi="仿宋" w:eastAsia="仿宋" w:cs="仿宋"/>
          <w:sz w:val="28"/>
          <w:szCs w:val="28"/>
        </w:rPr>
        <w:t>招</w:t>
      </w:r>
      <w:r>
        <w:rPr>
          <w:rFonts w:hint="eastAsia" w:ascii="仿宋" w:hAnsi="仿宋" w:eastAsia="仿宋" w:cs="仿宋"/>
          <w:sz w:val="28"/>
          <w:szCs w:val="28"/>
          <w:lang w:eastAsia="zh-CN"/>
        </w:rPr>
        <w:t>投</w:t>
      </w:r>
      <w:r>
        <w:rPr>
          <w:rFonts w:hint="eastAsia" w:ascii="仿宋" w:hAnsi="仿宋" w:eastAsia="仿宋" w:cs="仿宋"/>
          <w:sz w:val="28"/>
          <w:szCs w:val="28"/>
        </w:rPr>
        <w:t>标协会</w:t>
      </w:r>
      <w:r>
        <w:rPr>
          <w:rFonts w:hint="eastAsia" w:ascii="仿宋" w:hAnsi="仿宋" w:eastAsia="仿宋" w:cs="仿宋"/>
          <w:bCs/>
          <w:sz w:val="28"/>
          <w:szCs w:val="28"/>
        </w:rPr>
        <w:t>负责解释</w:t>
      </w:r>
      <w:r>
        <w:rPr>
          <w:rFonts w:hint="eastAsia" w:ascii="仿宋" w:hAnsi="仿宋" w:eastAsia="仿宋" w:cs="仿宋"/>
          <w:sz w:val="28"/>
          <w:szCs w:val="28"/>
        </w:rPr>
        <w:t>。</w:t>
      </w:r>
    </w:p>
    <w:p>
      <w:pPr>
        <w:spacing w:after="156" w:afterLines="50" w:line="360" w:lineRule="auto"/>
        <w:ind w:firstLine="594"/>
        <w:rPr>
          <w:rFonts w:hint="eastAsia" w:ascii="仿宋" w:hAnsi="仿宋" w:eastAsia="仿宋" w:cs="仿宋"/>
          <w:bCs/>
          <w:sz w:val="28"/>
          <w:szCs w:val="28"/>
        </w:rPr>
      </w:pPr>
      <w:r>
        <w:rPr>
          <w:rFonts w:hint="eastAsia" w:ascii="仿宋" w:hAnsi="仿宋" w:eastAsia="仿宋" w:cs="仿宋"/>
          <w:b/>
          <w:sz w:val="28"/>
          <w:szCs w:val="28"/>
        </w:rPr>
        <w:t>第十九条</w:t>
      </w:r>
      <w:r>
        <w:rPr>
          <w:rFonts w:hint="eastAsia" w:ascii="仿宋" w:hAnsi="仿宋" w:eastAsia="仿宋" w:cs="仿宋"/>
          <w:bCs/>
          <w:sz w:val="28"/>
          <w:szCs w:val="28"/>
        </w:rPr>
        <w:t xml:space="preserve">  本办法自20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 xml:space="preserve">年 </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日起施行。</w:t>
      </w: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ind w:firstLine="549"/>
        <w:rPr>
          <w:rFonts w:hint="eastAsia"/>
          <w:bCs/>
          <w:sz w:val="28"/>
          <w:szCs w:val="28"/>
        </w:rPr>
      </w:pPr>
    </w:p>
    <w:p>
      <w:pPr>
        <w:spacing w:after="156" w:afterLines="50" w:line="360" w:lineRule="auto"/>
        <w:rPr>
          <w:rFonts w:hint="eastAsia"/>
          <w:bCs/>
          <w:sz w:val="28"/>
          <w:szCs w:val="28"/>
        </w:rPr>
      </w:pPr>
    </w:p>
    <w:p>
      <w:pPr>
        <w:spacing w:after="156" w:afterLines="50" w:line="360" w:lineRule="auto"/>
        <w:rPr>
          <w:rFonts w:hint="eastAsia"/>
          <w:bCs/>
          <w:sz w:val="28"/>
          <w:szCs w:val="28"/>
        </w:rPr>
        <w:sectPr>
          <w:footerReference r:id="rId3" w:type="default"/>
          <w:footnotePr>
            <w:numFmt w:val="decimal"/>
          </w:footnotePr>
          <w:pgSz w:w="11906" w:h="16838"/>
          <w:pgMar w:top="2098" w:right="1531" w:bottom="2098" w:left="1531" w:header="851" w:footer="992" w:gutter="0"/>
          <w:cols w:space="720" w:num="1"/>
          <w:docGrid w:type="lines" w:linePitch="312" w:charSpace="0"/>
        </w:sectPr>
      </w:pPr>
    </w:p>
    <w:p>
      <w:pPr>
        <w:rPr>
          <w:rFonts w:hint="eastAsia"/>
          <w:bCs/>
          <w:sz w:val="28"/>
          <w:szCs w:val="28"/>
        </w:rPr>
      </w:pPr>
      <w:r>
        <w:rPr>
          <w:rFonts w:hint="eastAsia" w:ascii="仿宋" w:hAnsi="仿宋" w:eastAsia="仿宋" w:cs="仿宋"/>
          <w:sz w:val="28"/>
          <w:szCs w:val="28"/>
        </w:rPr>
        <w:t>附件2：</w:t>
      </w:r>
    </w:p>
    <w:p>
      <w:pPr>
        <w:jc w:val="center"/>
        <w:rPr>
          <w:rFonts w:ascii="黑体" w:hAnsi="黑体" w:eastAsia="黑体" w:cs="黑体"/>
          <w:b/>
          <w:bCs/>
          <w:sz w:val="36"/>
          <w:szCs w:val="36"/>
        </w:rPr>
      </w:pPr>
      <w:r>
        <w:rPr>
          <w:rFonts w:hint="eastAsia" w:ascii="黑体" w:hAnsi="黑体" w:eastAsia="黑体" w:cs="黑体"/>
          <w:b/>
          <w:bCs/>
          <w:sz w:val="36"/>
          <w:szCs w:val="36"/>
        </w:rPr>
        <w:t>贵州省行政区域内工程建设类招标代理企业基本信用评价和记分标准（试行）</w:t>
      </w:r>
    </w:p>
    <w:p>
      <w:pPr>
        <w:widowControl/>
        <w:jc w:val="center"/>
        <w:rPr>
          <w:rFonts w:ascii="宋体" w:hAnsi="宋体" w:cs="宋体"/>
          <w:b/>
          <w:kern w:val="0"/>
          <w:sz w:val="18"/>
          <w:szCs w:val="18"/>
          <w:lang w:bidi="ar"/>
        </w:rPr>
      </w:pPr>
    </w:p>
    <w:tbl>
      <w:tblPr>
        <w:tblStyle w:val="5"/>
        <w:tblW w:w="1584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4"/>
        <w:gridCol w:w="1324"/>
        <w:gridCol w:w="529"/>
        <w:gridCol w:w="3203"/>
        <w:gridCol w:w="2928"/>
        <w:gridCol w:w="2944"/>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blCellSpacing w:w="0" w:type="dxa"/>
          <w:jc w:val="center"/>
        </w:trPr>
        <w:tc>
          <w:tcPr>
            <w:tcW w:w="1324" w:type="dxa"/>
            <w:tcMar>
              <w:top w:w="60" w:type="dxa"/>
              <w:left w:w="60" w:type="dxa"/>
              <w:bottom w:w="60" w:type="dxa"/>
              <w:right w:w="60" w:type="dxa"/>
            </w:tcMar>
            <w:vAlign w:val="center"/>
          </w:tcPr>
          <w:p>
            <w:pPr>
              <w:widowControl/>
              <w:jc w:val="center"/>
              <w:rPr>
                <w:rFonts w:ascii="仿宋" w:hAnsi="仿宋" w:eastAsia="仿宋" w:cs="仿宋"/>
                <w:b/>
                <w:kern w:val="0"/>
                <w:szCs w:val="21"/>
                <w:lang w:bidi="ar"/>
              </w:rPr>
            </w:pPr>
            <w:r>
              <w:rPr>
                <w:rFonts w:hint="eastAsia" w:ascii="仿宋" w:hAnsi="仿宋" w:eastAsia="仿宋" w:cs="仿宋"/>
                <w:b/>
                <w:kern w:val="0"/>
                <w:szCs w:val="21"/>
                <w:lang w:bidi="ar"/>
              </w:rPr>
              <w:t>一级指标</w:t>
            </w:r>
          </w:p>
        </w:tc>
        <w:tc>
          <w:tcPr>
            <w:tcW w:w="1324" w:type="dxa"/>
            <w:tcMar>
              <w:top w:w="60" w:type="dxa"/>
              <w:left w:w="60" w:type="dxa"/>
              <w:bottom w:w="60" w:type="dxa"/>
              <w:right w:w="60" w:type="dxa"/>
            </w:tcMar>
            <w:vAlign w:val="center"/>
          </w:tcPr>
          <w:p>
            <w:pPr>
              <w:widowControl/>
              <w:jc w:val="center"/>
              <w:rPr>
                <w:rFonts w:ascii="仿宋" w:hAnsi="仿宋" w:eastAsia="仿宋" w:cs="仿宋"/>
                <w:b/>
                <w:kern w:val="0"/>
                <w:szCs w:val="21"/>
                <w:lang w:bidi="ar"/>
              </w:rPr>
            </w:pPr>
            <w:r>
              <w:rPr>
                <w:rFonts w:hint="eastAsia" w:ascii="仿宋" w:hAnsi="仿宋" w:eastAsia="仿宋" w:cs="仿宋"/>
                <w:b/>
                <w:kern w:val="0"/>
                <w:szCs w:val="21"/>
                <w:lang w:bidi="ar"/>
              </w:rPr>
              <w:t>二级指标</w:t>
            </w:r>
          </w:p>
        </w:tc>
        <w:tc>
          <w:tcPr>
            <w:tcW w:w="529" w:type="dxa"/>
            <w:tcMar>
              <w:top w:w="60" w:type="dxa"/>
              <w:left w:w="60" w:type="dxa"/>
              <w:bottom w:w="60" w:type="dxa"/>
              <w:right w:w="60" w:type="dxa"/>
            </w:tcMar>
            <w:vAlign w:val="center"/>
          </w:tcPr>
          <w:p>
            <w:pPr>
              <w:widowControl/>
              <w:jc w:val="center"/>
              <w:rPr>
                <w:rFonts w:ascii="仿宋" w:hAnsi="仿宋" w:eastAsia="仿宋" w:cs="仿宋"/>
                <w:b/>
                <w:kern w:val="0"/>
                <w:szCs w:val="21"/>
                <w:lang w:bidi="ar"/>
              </w:rPr>
            </w:pPr>
            <w:r>
              <w:rPr>
                <w:rFonts w:hint="eastAsia" w:ascii="仿宋" w:hAnsi="仿宋" w:eastAsia="仿宋" w:cs="仿宋"/>
                <w:b/>
                <w:kern w:val="0"/>
                <w:szCs w:val="21"/>
                <w:lang w:bidi="ar"/>
              </w:rPr>
              <w:t>最高分</w:t>
            </w:r>
          </w:p>
        </w:tc>
        <w:tc>
          <w:tcPr>
            <w:tcW w:w="3203" w:type="dxa"/>
            <w:tcMar>
              <w:top w:w="60" w:type="dxa"/>
              <w:left w:w="60" w:type="dxa"/>
              <w:bottom w:w="60" w:type="dxa"/>
              <w:right w:w="60" w:type="dxa"/>
            </w:tcMar>
            <w:vAlign w:val="center"/>
          </w:tcPr>
          <w:p>
            <w:pPr>
              <w:widowControl/>
              <w:jc w:val="center"/>
              <w:rPr>
                <w:rFonts w:ascii="仿宋" w:hAnsi="仿宋" w:eastAsia="仿宋" w:cs="仿宋"/>
                <w:b/>
                <w:szCs w:val="21"/>
              </w:rPr>
            </w:pPr>
            <w:r>
              <w:rPr>
                <w:rFonts w:hint="eastAsia" w:ascii="仿宋" w:hAnsi="仿宋" w:eastAsia="仿宋" w:cs="仿宋"/>
                <w:b/>
                <w:kern w:val="0"/>
                <w:szCs w:val="21"/>
                <w:lang w:bidi="ar"/>
              </w:rPr>
              <w:t>评价标准</w:t>
            </w:r>
          </w:p>
        </w:tc>
        <w:tc>
          <w:tcPr>
            <w:tcW w:w="5872" w:type="dxa"/>
            <w:gridSpan w:val="2"/>
            <w:tcMar>
              <w:top w:w="60" w:type="dxa"/>
              <w:left w:w="60" w:type="dxa"/>
              <w:bottom w:w="60" w:type="dxa"/>
              <w:right w:w="60" w:type="dxa"/>
            </w:tcMar>
            <w:vAlign w:val="center"/>
          </w:tcPr>
          <w:p>
            <w:pPr>
              <w:widowControl/>
              <w:jc w:val="center"/>
              <w:rPr>
                <w:rFonts w:ascii="仿宋" w:hAnsi="仿宋" w:eastAsia="仿宋" w:cs="仿宋"/>
                <w:b/>
                <w:szCs w:val="21"/>
              </w:rPr>
            </w:pPr>
            <w:r>
              <w:rPr>
                <w:rFonts w:hint="eastAsia" w:ascii="仿宋" w:hAnsi="仿宋" w:eastAsia="仿宋" w:cs="仿宋"/>
                <w:b/>
                <w:kern w:val="0"/>
                <w:szCs w:val="21"/>
                <w:lang w:bidi="ar"/>
              </w:rPr>
              <w:t>评分依据说明</w:t>
            </w:r>
          </w:p>
        </w:tc>
        <w:tc>
          <w:tcPr>
            <w:tcW w:w="3595" w:type="dxa"/>
            <w:tcMar>
              <w:top w:w="60" w:type="dxa"/>
              <w:left w:w="60" w:type="dxa"/>
              <w:bottom w:w="60" w:type="dxa"/>
              <w:right w:w="60" w:type="dxa"/>
            </w:tcMar>
            <w:vAlign w:val="center"/>
          </w:tcPr>
          <w:p>
            <w:pPr>
              <w:widowControl/>
              <w:jc w:val="center"/>
              <w:rPr>
                <w:rFonts w:ascii="仿宋" w:hAnsi="仿宋" w:eastAsia="仿宋" w:cs="仿宋"/>
                <w:b/>
                <w:szCs w:val="21"/>
              </w:rPr>
            </w:pPr>
            <w:r>
              <w:rPr>
                <w:rFonts w:hint="eastAsia" w:ascii="仿宋" w:hAnsi="仿宋" w:eastAsia="仿宋" w:cs="仿宋"/>
                <w:b/>
                <w:kern w:val="0"/>
                <w:szCs w:val="21"/>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0" w:hRule="atLeast"/>
          <w:tblCellSpacing w:w="0" w:type="dxa"/>
          <w:jc w:val="center"/>
        </w:trPr>
        <w:tc>
          <w:tcPr>
            <w:tcW w:w="2648" w:type="dxa"/>
            <w:gridSpan w:val="2"/>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b/>
                <w:bCs/>
                <w:kern w:val="0"/>
                <w:sz w:val="18"/>
                <w:szCs w:val="18"/>
                <w:lang w:bidi="ar"/>
              </w:rPr>
              <w:t>1.1企业初始分（本项满分15）</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要求企业在《贵州省建筑业管理和公共服务平台》和《贵州省建设工程招标投标协会专职员管理系统》中报送信息相互一致。得15分。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二条，基本资料向注册所在地市场监督管理局及省级建筑市场监管一体化平台报送，登记信息包含：</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1、营业执照相关信息；</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2、注册执业人员；</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3、具有工程建设类职称的专职人员；</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4、近3年代表性业绩；</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5、联系方式等。</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《贵州省建筑业监管和公共服务平台》及《贵州省建设工程招标投标协会专职员管理系统》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1" w:hRule="atLeast"/>
          <w:tblCellSpacing w:w="0" w:type="dxa"/>
          <w:jc w:val="center"/>
        </w:trPr>
        <w:tc>
          <w:tcPr>
            <w:tcW w:w="1324" w:type="dxa"/>
            <w:vMerge w:val="restart"/>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b/>
                <w:bCs/>
                <w:kern w:val="0"/>
                <w:sz w:val="18"/>
                <w:szCs w:val="18"/>
                <w:lang w:bidi="ar"/>
              </w:rPr>
              <w:t>1.2企业动态分（本项满分22）</w:t>
            </w: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1.2.1企业办公场所</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建筑面积300平方米以上（含300平方米）的得3分，每增加100平方米得1分。最高分得5分。 建筑面积300平方米以下每减少100平（含100平），减1分;</w:t>
            </w:r>
          </w:p>
        </w:tc>
        <w:tc>
          <w:tcPr>
            <w:tcW w:w="5872" w:type="dxa"/>
            <w:gridSpan w:val="2"/>
            <w:vMerge w:val="restart"/>
            <w:tcMar>
              <w:top w:w="60" w:type="dxa"/>
              <w:left w:w="60" w:type="dxa"/>
              <w:bottom w:w="60" w:type="dxa"/>
              <w:right w:w="60" w:type="dxa"/>
            </w:tcMar>
            <w:vAlign w:val="center"/>
          </w:tcPr>
          <w:p>
            <w:pPr>
              <w:widowControl/>
              <w:numPr>
                <w:ilvl w:val="0"/>
                <w:numId w:val="0"/>
              </w:numPr>
              <w:jc w:val="left"/>
              <w:rPr>
                <w:rFonts w:hint="eastAsia" w:ascii="宋体" w:hAnsi="宋体" w:eastAsia="宋体" w:cs="宋体"/>
                <w:b w:val="0"/>
                <w:i w:val="0"/>
                <w:caps w:val="0"/>
                <w:color w:val="000000"/>
                <w:spacing w:val="0"/>
                <w:sz w:val="18"/>
                <w:szCs w:val="18"/>
                <w:shd w:val="clear" w:fill="FFFFFF"/>
              </w:rPr>
            </w:pPr>
          </w:p>
          <w:p>
            <w:pPr>
              <w:widowControl/>
              <w:numPr>
                <w:ilvl w:val="0"/>
                <w:numId w:val="0"/>
              </w:numPr>
              <w:jc w:val="left"/>
              <w:rPr>
                <w:rFonts w:hint="eastAsia" w:ascii="宋体" w:hAnsi="宋体" w:eastAsia="宋体" w:cs="宋体"/>
                <w:b w:val="0"/>
                <w:i w:val="0"/>
                <w:caps w:val="0"/>
                <w:color w:val="000000"/>
                <w:spacing w:val="0"/>
                <w:sz w:val="18"/>
                <w:szCs w:val="18"/>
                <w:shd w:val="clear" w:fill="FFFFFF"/>
              </w:rPr>
            </w:pPr>
          </w:p>
          <w:p>
            <w:pPr>
              <w:widowControl/>
              <w:numPr>
                <w:ilvl w:val="0"/>
                <w:numId w:val="0"/>
              </w:numPr>
              <w:jc w:val="left"/>
              <w:rPr>
                <w:rFonts w:hint="eastAsia" w:ascii="宋体" w:hAnsi="宋体" w:eastAsia="宋体" w:cs="宋体"/>
                <w:b w:val="0"/>
                <w:i w:val="0"/>
                <w:caps w:val="0"/>
                <w:color w:val="000000"/>
                <w:spacing w:val="0"/>
                <w:sz w:val="18"/>
                <w:szCs w:val="18"/>
                <w:shd w:val="clear" w:fill="FFFFFF"/>
              </w:rPr>
            </w:pPr>
          </w:p>
          <w:p>
            <w:pPr>
              <w:widowControl/>
              <w:numPr>
                <w:ilvl w:val="0"/>
                <w:numId w:val="0"/>
              </w:numPr>
              <w:jc w:val="left"/>
              <w:rPr>
                <w:rFonts w:hint="eastAsia" w:ascii="宋体" w:hAnsi="宋体" w:eastAsia="宋体" w:cs="宋体"/>
                <w:b w:val="0"/>
                <w:i w:val="0"/>
                <w:caps w:val="0"/>
                <w:color w:val="000000"/>
                <w:spacing w:val="0"/>
                <w:sz w:val="18"/>
                <w:szCs w:val="18"/>
                <w:shd w:val="clear" w:fill="FFFFFF"/>
              </w:rPr>
            </w:pPr>
          </w:p>
          <w:p>
            <w:pPr>
              <w:widowControl/>
              <w:numPr>
                <w:ilvl w:val="0"/>
                <w:numId w:val="0"/>
              </w:numPr>
              <w:jc w:val="left"/>
              <w:rPr>
                <w:rFonts w:hint="eastAsia" w:ascii="宋体" w:hAnsi="宋体" w:eastAsia="宋体" w:cs="宋体"/>
                <w:b w:val="0"/>
                <w:i w:val="0"/>
                <w:caps w:val="0"/>
                <w:color w:val="000000"/>
                <w:spacing w:val="0"/>
                <w:sz w:val="18"/>
                <w:szCs w:val="18"/>
                <w:shd w:val="clear" w:fill="FFFFFF"/>
              </w:rPr>
            </w:pPr>
          </w:p>
          <w:p>
            <w:pPr>
              <w:widowControl/>
              <w:numPr>
                <w:ilvl w:val="0"/>
                <w:numId w:val="0"/>
              </w:numPr>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根据修改的《中华人民共和国招标投标法》第十三条规定： 招标代理机构应当具备下列条件：有从事招标代理业务的营业场所和相应资金；</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企业自有房提供房屋产权证、购房合同复印件，租赁的提供房屋租赁合同复印件</w:t>
            </w:r>
            <w:r>
              <w:rPr>
                <w:rFonts w:hint="eastAsia" w:ascii="宋体" w:hAnsi="宋体" w:eastAsia="宋体" w:cs="宋体"/>
                <w:b w:val="0"/>
                <w:i w:val="0"/>
                <w:caps w:val="0"/>
                <w:color w:val="000000"/>
                <w:spacing w:val="0"/>
                <w:sz w:val="18"/>
                <w:szCs w:val="18"/>
                <w:shd w:val="clear" w:fill="FFFFFF"/>
                <w:lang w:eastAsia="zh-CN"/>
              </w:rPr>
              <w:t>加盖公章</w:t>
            </w:r>
            <w:r>
              <w:rPr>
                <w:rFonts w:hint="eastAsia" w:ascii="宋体" w:hAnsi="宋体" w:eastAsia="宋体" w:cs="宋体"/>
                <w:b w:val="0"/>
                <w:i w:val="0"/>
                <w:caps w:val="0"/>
                <w:color w:val="000000"/>
                <w:spacing w:val="0"/>
                <w:sz w:val="18"/>
                <w:szCs w:val="18"/>
                <w:shd w:val="clear" w:fill="FFFFFF"/>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blCellSpacing w:w="0" w:type="dxa"/>
          <w:jc w:val="center"/>
        </w:trPr>
        <w:tc>
          <w:tcPr>
            <w:tcW w:w="1324" w:type="dxa"/>
            <w:vMerge w:val="continue"/>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1.2.2企业注册资本</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注册资本1000万（含1000万）以上得5分；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注册资本500万（含500万）至1000万以上得4分；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注册资本200万（含200万）至500万得3分；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注册资本200万以下该项不得分。</w:t>
            </w:r>
          </w:p>
        </w:tc>
        <w:tc>
          <w:tcPr>
            <w:tcW w:w="5872" w:type="dxa"/>
            <w:gridSpan w:val="2"/>
            <w:vMerge w:val="continue"/>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注册资本以营业执照载明的注册资本为准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67" w:hRule="atLeast"/>
          <w:tblCellSpacing w:w="0" w:type="dxa"/>
          <w:jc w:val="center"/>
        </w:trPr>
        <w:tc>
          <w:tcPr>
            <w:tcW w:w="1324" w:type="dxa"/>
            <w:vMerge w:val="continue"/>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1.2.3企业收费</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7</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企业招标代理服务费收取透明。按照贵州省建设工程招标投标协会制定的《贵州省工程建设项目招标代理费取费规范》收取招标代理费单个项目得7分。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1、根据《国家发展改革委关于进一步放开建设项目专业服务价格的通知》发改价格[2015]299号文件第二条： 经营者提供的服务，应当符合国家和行业有关标准规范，满足合同约定的服务内容和质量等要求，不得违反标准规范规定或合同约定，通过降低服务质量、减少服务内容等手段进行恶性竞争，扰乱正常市场秩序。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根据《贵州省工程建设项目招标代理程序化标准》（中华人民共和国工程建设地方标准）第4.3条4.3.1款规定：招标代理机构可参照贵州省建设工程招标投标协会拟定的《贵州省工程建设项目招标代理取费规范》收取招标代理服务费。</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color w:val="000000"/>
                <w:kern w:val="0"/>
                <w:sz w:val="18"/>
                <w:szCs w:val="18"/>
                <w:lang w:bidi="ar"/>
              </w:rPr>
              <w:t>以随机抽查为准。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1" w:hRule="atLeast"/>
          <w:tblCellSpacing w:w="0" w:type="dxa"/>
          <w:jc w:val="center"/>
        </w:trPr>
        <w:tc>
          <w:tcPr>
            <w:tcW w:w="1324" w:type="dxa"/>
            <w:vMerge w:val="continue"/>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1.2.4企业经营年限</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每一年0.5分，最高得5分。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二条，基本资料向注册所在地市场监督管理局及省级建筑市场监管一体化平台报送，登记信息包含：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1、营业执照相关信息；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2、注册执业人员；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3、具有工程建设类职称的专职人员；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4、近3年代表性业绩；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5、联系方式等。</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以营业执照载明的时间为准。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29" w:hRule="atLeast"/>
          <w:tblCellSpacing w:w="0" w:type="dxa"/>
          <w:jc w:val="center"/>
        </w:trPr>
        <w:tc>
          <w:tcPr>
            <w:tcW w:w="1324" w:type="dxa"/>
            <w:vMerge w:val="restart"/>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b/>
                <w:bCs/>
                <w:kern w:val="0"/>
                <w:sz w:val="18"/>
                <w:szCs w:val="18"/>
                <w:lang w:bidi="ar"/>
              </w:rPr>
              <w:t>1.3、人力资源指标（本项满分25）</w:t>
            </w: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1.3.1企业人员</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10</w:t>
            </w:r>
          </w:p>
        </w:tc>
        <w:tc>
          <w:tcPr>
            <w:tcW w:w="3203" w:type="dxa"/>
            <w:tcMar>
              <w:top w:w="60" w:type="dxa"/>
              <w:left w:w="60" w:type="dxa"/>
              <w:bottom w:w="60" w:type="dxa"/>
              <w:right w:w="60" w:type="dxa"/>
            </w:tcMar>
            <w:vAlign w:val="center"/>
          </w:tcPr>
          <w:p>
            <w:pPr>
              <w:widowControl/>
              <w:jc w:val="left"/>
              <w:rPr>
                <w:rFonts w:hint="default" w:ascii="宋体" w:hAnsi="宋体" w:eastAsia="宋体" w:cs="宋体"/>
                <w:color w:val="000000"/>
                <w:kern w:val="0"/>
                <w:sz w:val="18"/>
                <w:szCs w:val="18"/>
                <w:lang w:val="en-US" w:eastAsia="zh-CN" w:bidi="ar"/>
              </w:rPr>
            </w:pPr>
            <w:r>
              <w:rPr>
                <w:rFonts w:hint="eastAsia" w:ascii="宋体" w:hAnsi="宋体" w:eastAsia="宋体" w:cs="宋体"/>
                <w:b w:val="0"/>
                <w:i w:val="0"/>
                <w:caps w:val="0"/>
                <w:color w:val="000000"/>
                <w:spacing w:val="0"/>
                <w:sz w:val="18"/>
                <w:szCs w:val="18"/>
                <w:shd w:val="clear" w:fill="FFFFFF"/>
              </w:rPr>
              <w:t>成立时间4年及4年以上的企业： 中级以上职称的工程招标代理专职人员不少于</w:t>
            </w:r>
            <w:r>
              <w:rPr>
                <w:rFonts w:hint="eastAsia" w:ascii="宋体" w:hAnsi="宋体" w:eastAsia="宋体" w:cs="宋体"/>
                <w:b w:val="0"/>
                <w:i w:val="0"/>
                <w:caps w:val="0"/>
                <w:color w:val="000000"/>
                <w:spacing w:val="0"/>
                <w:sz w:val="18"/>
                <w:szCs w:val="18"/>
                <w:shd w:val="clear" w:fill="FFFFFF"/>
                <w:lang w:val="en-US" w:eastAsia="zh-CN"/>
              </w:rPr>
              <w:t>12</w:t>
            </w:r>
            <w:r>
              <w:rPr>
                <w:rFonts w:hint="eastAsia" w:ascii="宋体" w:hAnsi="宋体" w:eastAsia="宋体" w:cs="宋体"/>
                <w:b w:val="0"/>
                <w:i w:val="0"/>
                <w:caps w:val="0"/>
                <w:color w:val="000000"/>
                <w:spacing w:val="0"/>
                <w:sz w:val="18"/>
                <w:szCs w:val="18"/>
                <w:shd w:val="clear" w:fill="FFFFFF"/>
              </w:rPr>
              <w:t>人，其中具有工程建设类注册执业资格人员不少于</w:t>
            </w:r>
            <w:r>
              <w:rPr>
                <w:rFonts w:hint="eastAsia" w:ascii="宋体" w:hAnsi="宋体" w:eastAsia="宋体" w:cs="宋体"/>
                <w:b w:val="0"/>
                <w:i w:val="0"/>
                <w:caps w:val="0"/>
                <w:color w:val="000000"/>
                <w:spacing w:val="0"/>
                <w:sz w:val="18"/>
                <w:szCs w:val="18"/>
                <w:shd w:val="clear" w:fill="FFFFFF"/>
                <w:lang w:val="en-US" w:eastAsia="zh-CN"/>
              </w:rPr>
              <w:t>6</w:t>
            </w:r>
            <w:r>
              <w:rPr>
                <w:rFonts w:hint="eastAsia" w:ascii="宋体" w:hAnsi="宋体" w:eastAsia="宋体" w:cs="宋体"/>
                <w:b w:val="0"/>
                <w:i w:val="0"/>
                <w:caps w:val="0"/>
                <w:color w:val="000000"/>
                <w:spacing w:val="0"/>
                <w:sz w:val="18"/>
                <w:szCs w:val="18"/>
                <w:shd w:val="clear" w:fill="FFFFFF"/>
              </w:rPr>
              <w:t>人，（其中注册造价工程师达到</w:t>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人）得10分。 成立时间不满4年的企业： 中级以上职称的工程招标代理专职人员不少于</w:t>
            </w:r>
            <w:r>
              <w:rPr>
                <w:rFonts w:hint="eastAsia" w:ascii="宋体" w:hAnsi="宋体" w:eastAsia="宋体" w:cs="宋体"/>
                <w:b w:val="0"/>
                <w:i w:val="0"/>
                <w:caps w:val="0"/>
                <w:color w:val="000000"/>
                <w:spacing w:val="0"/>
                <w:sz w:val="18"/>
                <w:szCs w:val="18"/>
                <w:shd w:val="clear" w:fill="FFFFFF"/>
                <w:lang w:val="en-US" w:eastAsia="zh-CN"/>
              </w:rPr>
              <w:t>7</w:t>
            </w:r>
            <w:r>
              <w:rPr>
                <w:rFonts w:hint="eastAsia" w:ascii="宋体" w:hAnsi="宋体" w:eastAsia="宋体" w:cs="宋体"/>
                <w:b w:val="0"/>
                <w:i w:val="0"/>
                <w:caps w:val="0"/>
                <w:color w:val="000000"/>
                <w:spacing w:val="0"/>
                <w:sz w:val="18"/>
                <w:szCs w:val="18"/>
                <w:shd w:val="clear" w:fill="FFFFFF"/>
              </w:rPr>
              <w:t>人，其中具有工程建设类注册执业资格人员不少于</w:t>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人,（其中注册造价工程师达到</w:t>
            </w:r>
            <w:r>
              <w:rPr>
                <w:rFonts w:hint="eastAsia" w:ascii="宋体" w:hAnsi="宋体" w:eastAsia="宋体" w:cs="宋体"/>
                <w:b w:val="0"/>
                <w:i w:val="0"/>
                <w:caps w:val="0"/>
                <w:color w:val="000000"/>
                <w:spacing w:val="0"/>
                <w:sz w:val="18"/>
                <w:szCs w:val="18"/>
                <w:shd w:val="clear" w:fill="FFFFFF"/>
                <w:lang w:val="en-US" w:eastAsia="zh-CN"/>
              </w:rPr>
              <w:t>2</w:t>
            </w:r>
            <w:r>
              <w:rPr>
                <w:rFonts w:hint="eastAsia" w:ascii="宋体" w:hAnsi="宋体" w:eastAsia="宋体" w:cs="宋体"/>
                <w:b w:val="0"/>
                <w:i w:val="0"/>
                <w:caps w:val="0"/>
                <w:color w:val="000000"/>
                <w:spacing w:val="0"/>
                <w:sz w:val="18"/>
                <w:szCs w:val="18"/>
                <w:shd w:val="clear" w:fill="FFFFFF"/>
              </w:rPr>
              <w:t>人</w:t>
            </w:r>
            <w:r>
              <w:rPr>
                <w:rFonts w:hint="eastAsia" w:ascii="宋体" w:hAnsi="宋体" w:eastAsia="宋体" w:cs="宋体"/>
                <w:b w:val="0"/>
                <w:i w:val="0"/>
                <w:caps w:val="0"/>
                <w:color w:val="000000"/>
                <w:spacing w:val="0"/>
                <w:sz w:val="18"/>
                <w:szCs w:val="18"/>
                <w:shd w:val="clear" w:fill="FFFFFF"/>
                <w:lang w:eastAsia="zh-CN"/>
              </w:rPr>
              <w:t>，</w:t>
            </w:r>
            <w:r>
              <w:rPr>
                <w:rFonts w:hint="eastAsia" w:ascii="宋体" w:hAnsi="宋体" w:eastAsia="宋体" w:cs="宋体"/>
                <w:b w:val="0"/>
                <w:i w:val="0"/>
                <w:caps w:val="0"/>
                <w:color w:val="000000"/>
                <w:spacing w:val="0"/>
                <w:sz w:val="18"/>
                <w:szCs w:val="18"/>
                <w:shd w:val="clear" w:fill="FFFFFF"/>
                <w:lang w:val="en-US" w:eastAsia="zh-CN"/>
              </w:rPr>
              <w:t>2017年12月28日之后成立的招标代理企业应提供执业人员资格证书</w:t>
            </w:r>
            <w:r>
              <w:rPr>
                <w:rFonts w:hint="eastAsia" w:ascii="宋体" w:hAnsi="宋体" w:eastAsia="宋体" w:cs="宋体"/>
                <w:b w:val="0"/>
                <w:i w:val="0"/>
                <w:caps w:val="0"/>
                <w:color w:val="000000"/>
                <w:spacing w:val="0"/>
                <w:sz w:val="18"/>
                <w:szCs w:val="18"/>
                <w:shd w:val="clear" w:fill="FFFFFF"/>
              </w:rPr>
              <w:t>）得10分。</w:t>
            </w:r>
          </w:p>
        </w:tc>
        <w:tc>
          <w:tcPr>
            <w:tcW w:w="5872" w:type="dxa"/>
            <w:gridSpan w:val="2"/>
            <w:vMerge w:val="restart"/>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二条，基本资料向注册所在地市场监督管理局及省级建筑市场监管一体化平台报送，登记信息包含：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1、营业执照相关信息；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2、注册执业人员；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3、具有工程建设类职称的专职人员；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4、近3年代表性业绩；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5、联系方式等。 根据住建部建《住房城乡建设部关于取消工程建设项目招标代理机构资格认定加强事中事后监管的通知》建办事（2017）77号第七条：推进行业自律。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（一） 协会制定的从业机构和从业人员行为规范；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（二） 协会颁布的加强对招标代理机构和从业人员行为的约束和管理工作；</w:t>
            </w:r>
          </w:p>
        </w:tc>
        <w:tc>
          <w:tcPr>
            <w:tcW w:w="3595" w:type="dxa"/>
            <w:tcMar>
              <w:top w:w="60" w:type="dxa"/>
              <w:left w:w="60" w:type="dxa"/>
              <w:bottom w:w="60" w:type="dxa"/>
              <w:right w:w="60" w:type="dxa"/>
            </w:tcMar>
            <w:vAlign w:val="center"/>
          </w:tcPr>
          <w:p>
            <w:pPr>
              <w:ind w:firstLine="360" w:firstLineChars="200"/>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一、《贵州省建筑业监管和公共服务平台》及《贵州省建设工程招标投标协会专职员管理系统》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9"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1.3.2学历结构</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专科及以上学历占总人数50%及以上得5分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专科及以上学历占30%及以上，50%以下得2分</w:t>
            </w:r>
          </w:p>
        </w:tc>
        <w:tc>
          <w:tcPr>
            <w:tcW w:w="5872" w:type="dxa"/>
            <w:gridSpan w:val="2"/>
            <w:vMerge w:val="continue"/>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企业提供人员毕业证书复印件</w:t>
            </w:r>
            <w:r>
              <w:rPr>
                <w:rFonts w:hint="eastAsia" w:ascii="宋体" w:hAnsi="宋体" w:cs="宋体"/>
                <w:sz w:val="18"/>
                <w:szCs w:val="18"/>
                <w:shd w:val="clear" w:color="auto" w:fill="FFFFFF"/>
                <w:lang w:eastAsia="zh-CN"/>
              </w:rPr>
              <w:t>加盖公章</w:t>
            </w:r>
            <w:r>
              <w:rPr>
                <w:rFonts w:hint="eastAsia" w:ascii="宋体" w:hAnsi="宋体" w:cs="宋体"/>
                <w:sz w:val="18"/>
                <w:szCs w:val="18"/>
                <w:shd w:val="clear" w:color="auto" w:fill="FFFFFF"/>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1.3.3职称结构</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专职人员高级职称每人得1分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专职人员中级职称每人得0.2分</w:t>
            </w:r>
            <w:r>
              <w:rPr>
                <w:rFonts w:hint="eastAsia" w:ascii="宋体" w:hAnsi="宋体" w:cs="宋体"/>
                <w:color w:val="000000"/>
                <w:kern w:val="0"/>
                <w:sz w:val="18"/>
                <w:szCs w:val="18"/>
                <w:lang w:bidi="ar"/>
              </w:rPr>
              <w:t xml:space="preserve">     </w:t>
            </w:r>
          </w:p>
        </w:tc>
        <w:tc>
          <w:tcPr>
            <w:tcW w:w="5872" w:type="dxa"/>
            <w:gridSpan w:val="2"/>
            <w:vMerge w:val="continue"/>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企业提供人员职称证复印件</w:t>
            </w:r>
            <w:r>
              <w:rPr>
                <w:rFonts w:hint="eastAsia" w:ascii="宋体" w:hAnsi="宋体" w:cs="宋体"/>
                <w:sz w:val="18"/>
                <w:szCs w:val="18"/>
                <w:shd w:val="clear" w:color="auto" w:fill="FFFFFF"/>
                <w:lang w:eastAsia="zh-CN"/>
              </w:rPr>
              <w:t>加盖公章</w:t>
            </w:r>
            <w:r>
              <w:rPr>
                <w:rFonts w:hint="eastAsia" w:ascii="宋体" w:hAnsi="宋体" w:cs="宋体"/>
                <w:sz w:val="18"/>
                <w:szCs w:val="18"/>
                <w:shd w:val="clear" w:color="auto" w:fill="FFFFFF"/>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9"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1.3.4企业人员培训</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招标代理专职人员按要求全部参加贵州省建设工程招标投标协会上一年度继续教育培训的得5分。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根据《住房城乡建设部关于取消工程建设项目招标代理机构资格认定加强事中事后监管的通知》建办事（2017）77号第七条： 规范工程招标代理行为。鼓励行业协会开展招标代理机构资信评价和从业人员培训工作，提升招标代理服务能力。</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以查询贵州省建设工程招标投标协会培训记录为准。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8" w:hRule="atLeast"/>
          <w:tblCellSpacing w:w="0" w:type="dxa"/>
          <w:jc w:val="center"/>
        </w:trPr>
        <w:tc>
          <w:tcPr>
            <w:tcW w:w="1324" w:type="dxa"/>
            <w:vMerge w:val="restart"/>
            <w:tcMar>
              <w:top w:w="60" w:type="dxa"/>
              <w:left w:w="60" w:type="dxa"/>
              <w:bottom w:w="60" w:type="dxa"/>
              <w:right w:w="60" w:type="dxa"/>
            </w:tcMar>
            <w:vAlign w:val="center"/>
          </w:tcPr>
          <w:p>
            <w:pPr>
              <w:rPr>
                <w:rFonts w:ascii="仿宋" w:hAnsi="仿宋" w:eastAsia="仿宋" w:cs="仿宋"/>
                <w:szCs w:val="21"/>
              </w:rPr>
            </w:pPr>
            <w:r>
              <w:rPr>
                <w:rFonts w:hint="eastAsia" w:ascii="宋体" w:hAnsi="宋体" w:cs="宋体"/>
                <w:b/>
                <w:bCs/>
                <w:kern w:val="0"/>
                <w:sz w:val="18"/>
                <w:szCs w:val="18"/>
                <w:lang w:bidi="ar"/>
              </w:rPr>
              <w:t>1.4、企业业绩指标（本项满分30分）</w:t>
            </w: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1.4.1招标委托代理合同</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年每</w:t>
            </w:r>
            <w:r>
              <w:rPr>
                <w:rFonts w:hint="eastAsia" w:ascii="宋体" w:hAnsi="宋体" w:cs="宋体"/>
                <w:kern w:val="0"/>
                <w:sz w:val="18"/>
                <w:szCs w:val="18"/>
                <w:lang w:bidi="ar"/>
              </w:rPr>
              <w:t>个项目按要求签订招标代理合同得0.5分，总分5分。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根据《住房城乡建设部关于取消工程建设项目招标代理机构资格认定加强事中事后监管的通知》建办事（2017）77号第三条： 规范工程招标代理行为。招标代理机构应当与招标人签订工程招标代理书面委托合同，并在合同约定的范围内依法开展工程招标代理活动。</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kern w:val="0"/>
                <w:sz w:val="18"/>
                <w:szCs w:val="18"/>
                <w:lang w:bidi="ar"/>
              </w:rPr>
              <w:t>以招标代理合同原件为准。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3"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1.4.2招标公告及中标候选人公示</w:t>
            </w:r>
          </w:p>
        </w:tc>
        <w:tc>
          <w:tcPr>
            <w:tcW w:w="529" w:type="dxa"/>
            <w:tcMar>
              <w:top w:w="60" w:type="dxa"/>
              <w:left w:w="60" w:type="dxa"/>
              <w:bottom w:w="60" w:type="dxa"/>
              <w:right w:w="60"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5</w:t>
            </w:r>
          </w:p>
        </w:tc>
        <w:tc>
          <w:tcPr>
            <w:tcW w:w="3203"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w:t>
            </w:r>
            <w:r>
              <w:rPr>
                <w:rFonts w:hint="eastAsia" w:ascii="宋体" w:hAnsi="宋体" w:eastAsia="宋体" w:cs="宋体"/>
                <w:b w:val="0"/>
                <w:i w:val="0"/>
                <w:caps w:val="0"/>
                <w:color w:val="auto"/>
                <w:spacing w:val="0"/>
                <w:sz w:val="18"/>
                <w:szCs w:val="18"/>
                <w:shd w:val="clear" w:fill="FFFFFF"/>
              </w:rPr>
              <w:t>每</w:t>
            </w:r>
            <w:r>
              <w:rPr>
                <w:rFonts w:hint="eastAsia" w:ascii="宋体" w:hAnsi="宋体" w:eastAsia="宋体" w:cs="宋体"/>
                <w:b w:val="0"/>
                <w:i w:val="0"/>
                <w:caps w:val="0"/>
                <w:color w:val="000000"/>
                <w:spacing w:val="0"/>
                <w:sz w:val="18"/>
                <w:szCs w:val="18"/>
                <w:shd w:val="clear" w:fill="FFFFFF"/>
              </w:rPr>
              <w:t>个项目在指定的媒介发布招标公告及中标候选人公示得0.5分，总分5分。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根据《招标公告和公示信息发布管理办法》第八条： 依法必须招标项目的招标公告和公示信息应当在“中国招标投标公共服务平台”或者项目所在地省级电子招标投标公共服务平台（以下统一简称“发布媒介”）发布。</w:t>
            </w:r>
          </w:p>
        </w:tc>
        <w:tc>
          <w:tcPr>
            <w:tcW w:w="3595"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招标公告及中标候选人公示发布网站截图为准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8"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1.4.3项目招标文件</w:t>
            </w:r>
          </w:p>
        </w:tc>
        <w:tc>
          <w:tcPr>
            <w:tcW w:w="529" w:type="dxa"/>
            <w:tcMar>
              <w:top w:w="60" w:type="dxa"/>
              <w:left w:w="60" w:type="dxa"/>
              <w:bottom w:w="60" w:type="dxa"/>
              <w:right w:w="60"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5</w:t>
            </w:r>
          </w:p>
        </w:tc>
        <w:tc>
          <w:tcPr>
            <w:tcW w:w="3203" w:type="dxa"/>
            <w:tcMar>
              <w:top w:w="60" w:type="dxa"/>
              <w:left w:w="60" w:type="dxa"/>
              <w:bottom w:w="60" w:type="dxa"/>
              <w:right w:w="60" w:type="dxa"/>
            </w:tcMar>
            <w:vAlign w:val="center"/>
          </w:tcPr>
          <w:p>
            <w:pPr>
              <w:widowControl/>
              <w:jc w:val="left"/>
              <w:rPr>
                <w:rFonts w:hint="default" w:ascii="宋体" w:hAnsi="宋体" w:eastAsia="宋体" w:cs="宋体"/>
                <w:kern w:val="0"/>
                <w:sz w:val="18"/>
                <w:szCs w:val="18"/>
                <w:lang w:val="en-US" w:eastAsia="zh-CN"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w:t>
            </w:r>
            <w:r>
              <w:rPr>
                <w:rFonts w:hint="eastAsia" w:ascii="宋体" w:hAnsi="宋体" w:eastAsia="宋体" w:cs="宋体"/>
                <w:b w:val="0"/>
                <w:i w:val="0"/>
                <w:caps w:val="0"/>
                <w:color w:val="auto"/>
                <w:spacing w:val="0"/>
                <w:sz w:val="18"/>
                <w:szCs w:val="18"/>
                <w:shd w:val="clear" w:fill="FFFFFF"/>
              </w:rPr>
              <w:t>每个</w:t>
            </w:r>
            <w:r>
              <w:rPr>
                <w:rFonts w:hint="eastAsia" w:ascii="宋体" w:hAnsi="宋体" w:eastAsia="宋体" w:cs="宋体"/>
                <w:b w:val="0"/>
                <w:i w:val="0"/>
                <w:caps w:val="0"/>
                <w:color w:val="000000"/>
                <w:spacing w:val="0"/>
                <w:sz w:val="18"/>
                <w:szCs w:val="18"/>
                <w:shd w:val="clear" w:fill="FFFFFF"/>
              </w:rPr>
              <w:t>项目招标文件按照现行有效的贵州省住房和城乡建设厅发布的房建市政项目的招标文件范本编制的得0.5分</w:t>
            </w:r>
            <w:r>
              <w:rPr>
                <w:rFonts w:hint="eastAsia" w:ascii="宋体" w:hAnsi="宋体" w:eastAsia="宋体" w:cs="宋体"/>
                <w:b w:val="0"/>
                <w:i w:val="0"/>
                <w:caps w:val="0"/>
                <w:color w:val="000000"/>
                <w:spacing w:val="0"/>
                <w:sz w:val="18"/>
                <w:szCs w:val="18"/>
                <w:shd w:val="clear" w:fill="FFFFFF"/>
                <w:lang w:eastAsia="zh-CN"/>
              </w:rPr>
              <w:t>，总分</w:t>
            </w:r>
            <w:r>
              <w:rPr>
                <w:rFonts w:hint="eastAsia" w:ascii="宋体" w:hAnsi="宋体" w:eastAsia="宋体" w:cs="宋体"/>
                <w:b w:val="0"/>
                <w:i w:val="0"/>
                <w:caps w:val="0"/>
                <w:color w:val="000000"/>
                <w:spacing w:val="0"/>
                <w:sz w:val="18"/>
                <w:szCs w:val="18"/>
                <w:shd w:val="clear" w:fill="FFFFFF"/>
                <w:lang w:val="en-US" w:eastAsia="zh-CN"/>
              </w:rPr>
              <w:t>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根据省住房和城乡建设厅关于印发《贵州省房屋建筑和市政工程标准施工、监理招标资格预审文件和招标文件》（2016年版）的通知 现将重新修编的《贵州省房屋建筑和市政工程标准施工招标资格预审文件》、《贵州省房屋建筑和市政工程标准施工招标文件》、《贵州省房屋建筑和市政工程简明标准施工招标文件》和《贵州省房屋建筑和市政工程标准监理招标文件》（2016年版）（以下简称《2016版标准施工监理资格预审文件和招标文件》，具体详见附件）印发给你们，请遵照执行。原《2013版标准施工监理资格预审文件和招标文件》同时废止。</w:t>
            </w:r>
          </w:p>
        </w:tc>
        <w:tc>
          <w:tcPr>
            <w:tcW w:w="3595"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以在交易平台发布的招标公告及其附件为准。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42"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1.4.4中标通知书</w:t>
            </w:r>
          </w:p>
        </w:tc>
        <w:tc>
          <w:tcPr>
            <w:tcW w:w="529" w:type="dxa"/>
            <w:tcMar>
              <w:top w:w="60" w:type="dxa"/>
              <w:left w:w="60" w:type="dxa"/>
              <w:bottom w:w="60" w:type="dxa"/>
              <w:right w:w="60"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5</w:t>
            </w:r>
          </w:p>
        </w:tc>
        <w:tc>
          <w:tcPr>
            <w:tcW w:w="3203"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w:t>
            </w:r>
            <w:r>
              <w:rPr>
                <w:rFonts w:hint="eastAsia" w:ascii="宋体" w:hAnsi="宋体" w:eastAsia="宋体" w:cs="宋体"/>
                <w:b w:val="0"/>
                <w:i w:val="0"/>
                <w:caps w:val="0"/>
                <w:color w:val="auto"/>
                <w:spacing w:val="0"/>
                <w:sz w:val="18"/>
                <w:szCs w:val="18"/>
                <w:shd w:val="clear" w:fill="FFFFFF"/>
              </w:rPr>
              <w:t>项</w:t>
            </w:r>
            <w:r>
              <w:rPr>
                <w:rFonts w:hint="eastAsia" w:ascii="宋体" w:hAnsi="宋体" w:eastAsia="宋体" w:cs="宋体"/>
                <w:b w:val="0"/>
                <w:i w:val="0"/>
                <w:caps w:val="0"/>
                <w:color w:val="000000"/>
                <w:spacing w:val="0"/>
                <w:sz w:val="18"/>
                <w:szCs w:val="18"/>
                <w:shd w:val="clear" w:fill="FFFFFF"/>
              </w:rPr>
              <w:t>目中标通知书按照规定的时间发出的得0.5分,总分5分。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1、根据《中华人民共和国招标投标法》第四十五条规定： 中标人确定后，招标人应当向中标人发出中标通知书，并同时将中标结果通知所有未中标的投标人。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2、根据《中华人民共和国招标投标法》第四十五条规定，，招标人应当向中标人发出中标通知书，并同时将中标结果通知所有未中标的投标人。 中标通知书对招标人和中标人具有法律效力。</w:t>
            </w:r>
          </w:p>
        </w:tc>
        <w:tc>
          <w:tcPr>
            <w:tcW w:w="3595"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以中标通知书复印件</w:t>
            </w:r>
            <w:r>
              <w:rPr>
                <w:rFonts w:hint="eastAsia" w:ascii="宋体" w:hAnsi="宋体" w:cs="宋体"/>
                <w:kern w:val="0"/>
                <w:sz w:val="18"/>
                <w:szCs w:val="18"/>
                <w:lang w:eastAsia="zh-CN" w:bidi="ar"/>
              </w:rPr>
              <w:t>加盖公章</w:t>
            </w:r>
            <w:r>
              <w:rPr>
                <w:rFonts w:hint="eastAsia" w:ascii="宋体" w:hAnsi="宋体" w:cs="宋体"/>
                <w:kern w:val="0"/>
                <w:sz w:val="18"/>
                <w:szCs w:val="18"/>
                <w:lang w:bidi="ar"/>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2"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1.4.5业主评价意见</w:t>
            </w:r>
          </w:p>
        </w:tc>
        <w:tc>
          <w:tcPr>
            <w:tcW w:w="529" w:type="dxa"/>
            <w:tcMar>
              <w:top w:w="60" w:type="dxa"/>
              <w:left w:w="60" w:type="dxa"/>
              <w:bottom w:w="60" w:type="dxa"/>
              <w:right w:w="60"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10</w:t>
            </w:r>
          </w:p>
        </w:tc>
        <w:tc>
          <w:tcPr>
            <w:tcW w:w="3203"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年项</w:t>
            </w:r>
            <w:r>
              <w:rPr>
                <w:rFonts w:hint="eastAsia" w:ascii="宋体" w:hAnsi="宋体" w:cs="宋体"/>
                <w:kern w:val="0"/>
                <w:sz w:val="18"/>
                <w:szCs w:val="18"/>
                <w:lang w:bidi="ar"/>
              </w:rPr>
              <w:t>目有业主评价意见表，且所有指标均为“满意”得1分。本项最高得10分。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根据《国家发展改革委关于进一步放开建设项目专业服务价格的通知》发改价格[2015]299号文件第二条： 经营者提供的服务，应当符合国家和行业有关标准规范，满足合同约定的服务内容和质量等要求，不得违反标准规范规定或合同约定，通过降低服务质量、减少服务内容等手段进行恶性竞争，扰乱正常市场秩序</w:t>
            </w:r>
          </w:p>
        </w:tc>
        <w:tc>
          <w:tcPr>
            <w:tcW w:w="3595" w:type="dxa"/>
            <w:tcMar>
              <w:top w:w="60" w:type="dxa"/>
              <w:left w:w="60" w:type="dxa"/>
              <w:bottom w:w="60" w:type="dxa"/>
              <w:right w:w="60"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业主评价意见表复印件</w:t>
            </w:r>
            <w:r>
              <w:rPr>
                <w:rFonts w:hint="eastAsia" w:ascii="宋体" w:hAnsi="宋体" w:cs="宋体"/>
                <w:kern w:val="0"/>
                <w:sz w:val="18"/>
                <w:szCs w:val="18"/>
                <w:lang w:eastAsia="zh-CN" w:bidi="ar"/>
              </w:rPr>
              <w:t>加盖公章</w:t>
            </w:r>
            <w:r>
              <w:rPr>
                <w:rFonts w:hint="eastAsia" w:ascii="宋体" w:hAnsi="宋体" w:cs="宋体"/>
                <w:kern w:val="0"/>
                <w:sz w:val="18"/>
                <w:szCs w:val="18"/>
                <w:lang w:bidi="ar"/>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blCellSpacing w:w="0" w:type="dxa"/>
          <w:jc w:val="center"/>
        </w:trPr>
        <w:tc>
          <w:tcPr>
            <w:tcW w:w="1324" w:type="dxa"/>
            <w:vMerge w:val="restart"/>
            <w:tcMar>
              <w:top w:w="60" w:type="dxa"/>
              <w:left w:w="60" w:type="dxa"/>
              <w:bottom w:w="60" w:type="dxa"/>
              <w:right w:w="60" w:type="dxa"/>
            </w:tcMar>
            <w:vAlign w:val="center"/>
          </w:tcPr>
          <w:p>
            <w:pPr>
              <w:widowControl/>
              <w:jc w:val="left"/>
              <w:rPr>
                <w:rFonts w:ascii="仿宋" w:hAnsi="仿宋" w:eastAsia="仿宋" w:cs="仿宋"/>
                <w:szCs w:val="21"/>
              </w:rPr>
            </w:pPr>
            <w:r>
              <w:rPr>
                <w:rFonts w:hint="eastAsia" w:ascii="宋体" w:hAnsi="宋体" w:cs="宋体"/>
                <w:b/>
                <w:bCs/>
                <w:kern w:val="0"/>
                <w:sz w:val="18"/>
                <w:szCs w:val="18"/>
                <w:lang w:bidi="ar"/>
              </w:rPr>
              <w:t>1.5社会责任及精神文明建设 （本项满分28）</w:t>
            </w: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1.5.1参与救灾、物资捐赠、慈善公益等活动</w:t>
            </w:r>
          </w:p>
        </w:tc>
        <w:tc>
          <w:tcPr>
            <w:tcW w:w="529" w:type="dxa"/>
            <w:tcMar>
              <w:top w:w="60" w:type="dxa"/>
              <w:left w:w="60" w:type="dxa"/>
              <w:bottom w:w="60" w:type="dxa"/>
              <w:right w:w="60" w:type="dxa"/>
            </w:tcMar>
            <w:vAlign w:val="center"/>
          </w:tcPr>
          <w:p>
            <w:pPr>
              <w:widowControl/>
              <w:jc w:val="center"/>
              <w:rPr>
                <w:rFonts w:hint="eastAsia" w:ascii="宋体" w:hAnsi="宋体" w:cs="宋体" w:eastAsiaTheme="minorEastAsia"/>
                <w:color w:val="000000"/>
                <w:szCs w:val="21"/>
                <w:shd w:val="clear" w:color="auto" w:fill="FFFFFF"/>
                <w:lang w:eastAsia="zh-CN"/>
              </w:rPr>
            </w:pPr>
            <w:r>
              <w:rPr>
                <w:rFonts w:hint="eastAsia" w:ascii="宋体" w:hAnsi="宋体" w:cs="宋体"/>
                <w:color w:val="000000"/>
                <w:szCs w:val="21"/>
                <w:shd w:val="clear" w:color="auto" w:fill="FFFFFF"/>
                <w:lang w:val="en-US" w:eastAsia="zh-CN"/>
              </w:rPr>
              <w:t>6</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近</w:t>
            </w:r>
            <w:r>
              <w:rPr>
                <w:rFonts w:hint="eastAsia" w:ascii="宋体" w:hAnsi="宋体" w:cs="宋体"/>
                <w:color w:val="000000"/>
                <w:kern w:val="0"/>
                <w:sz w:val="18"/>
                <w:szCs w:val="18"/>
                <w:lang w:eastAsia="zh-CN" w:bidi="ar"/>
              </w:rPr>
              <w:t>两</w:t>
            </w:r>
            <w:r>
              <w:rPr>
                <w:rFonts w:hint="eastAsia" w:ascii="宋体" w:hAnsi="宋体" w:cs="宋体"/>
                <w:color w:val="000000"/>
                <w:kern w:val="0"/>
                <w:sz w:val="18"/>
                <w:szCs w:val="18"/>
                <w:lang w:bidi="ar"/>
              </w:rPr>
              <w:t>年内</w:t>
            </w:r>
            <w:r>
              <w:rPr>
                <w:rFonts w:hint="eastAsia" w:ascii="宋体" w:hAnsi="宋体" w:eastAsia="宋体" w:cs="宋体"/>
                <w:b w:val="0"/>
                <w:i w:val="0"/>
                <w:caps w:val="0"/>
                <w:color w:val="000000"/>
                <w:spacing w:val="0"/>
                <w:sz w:val="18"/>
                <w:szCs w:val="18"/>
                <w:shd w:val="clear" w:fill="FFFFFF"/>
              </w:rPr>
              <w:t>企业积极参加本协会</w:t>
            </w:r>
            <w:r>
              <w:rPr>
                <w:rFonts w:hint="eastAsia" w:ascii="宋体" w:hAnsi="宋体" w:eastAsia="宋体" w:cs="宋体"/>
                <w:b w:val="0"/>
                <w:i w:val="0"/>
                <w:caps w:val="0"/>
                <w:color w:val="000000"/>
                <w:spacing w:val="0"/>
                <w:sz w:val="18"/>
                <w:szCs w:val="18"/>
                <w:shd w:val="clear" w:fill="FFFFFF"/>
                <w:lang w:eastAsia="zh-CN"/>
              </w:rPr>
              <w:t>组织</w:t>
            </w:r>
            <w:r>
              <w:rPr>
                <w:rFonts w:hint="eastAsia" w:ascii="宋体" w:hAnsi="宋体" w:eastAsia="宋体" w:cs="宋体"/>
                <w:b w:val="0"/>
                <w:i w:val="0"/>
                <w:caps w:val="0"/>
                <w:color w:val="000000"/>
                <w:spacing w:val="0"/>
                <w:sz w:val="18"/>
                <w:szCs w:val="18"/>
                <w:shd w:val="clear" w:fill="FFFFFF"/>
              </w:rPr>
              <w:t>的公益事业、抢险救灾、救济贫困等社会公益事业，一次</w:t>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分。本项最高得</w:t>
            </w:r>
            <w:r>
              <w:rPr>
                <w:rFonts w:hint="eastAsia" w:ascii="宋体" w:hAnsi="宋体" w:eastAsia="宋体" w:cs="宋体"/>
                <w:b w:val="0"/>
                <w:i w:val="0"/>
                <w:caps w:val="0"/>
                <w:color w:val="000000"/>
                <w:spacing w:val="0"/>
                <w:sz w:val="18"/>
                <w:szCs w:val="18"/>
                <w:shd w:val="clear" w:fill="FFFFFF"/>
                <w:lang w:val="en-US" w:eastAsia="zh-CN"/>
              </w:rPr>
              <w:t>6</w:t>
            </w:r>
            <w:r>
              <w:rPr>
                <w:rFonts w:hint="eastAsia" w:ascii="宋体" w:hAnsi="宋体" w:eastAsia="宋体" w:cs="宋体"/>
                <w:b w:val="0"/>
                <w:i w:val="0"/>
                <w:caps w:val="0"/>
                <w:color w:val="000000"/>
                <w:spacing w:val="0"/>
                <w:sz w:val="18"/>
                <w:szCs w:val="18"/>
                <w:shd w:val="clear" w:fill="FFFFFF"/>
              </w:rPr>
              <w:t>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w:t>
            </w:r>
            <w:r>
              <w:rPr>
                <w:rFonts w:hint="eastAsia" w:ascii="宋体" w:hAnsi="宋体" w:cs="宋体"/>
                <w:sz w:val="18"/>
                <w:szCs w:val="18"/>
                <w:shd w:val="clear" w:color="auto" w:fill="FFFFFF"/>
                <w:lang w:eastAsia="zh-CN"/>
              </w:rPr>
              <w:t>有效的</w:t>
            </w:r>
            <w:r>
              <w:rPr>
                <w:rFonts w:hint="eastAsia" w:ascii="宋体" w:hAnsi="宋体" w:cs="宋体"/>
                <w:sz w:val="18"/>
                <w:szCs w:val="18"/>
                <w:shd w:val="clear" w:color="auto" w:fill="FFFFFF"/>
              </w:rPr>
              <w:t>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11"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1.5.2员工权益</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4</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依法和员工签订劳动合同得2分。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依法给员工办理社保得2分。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1、根据《中华人民共和国劳动法》第十六条：“劳动合同是劳动者与用人单位确立劳动关系、明确双方权利和义务的协议。建立劳动关系应当订立劳动合同。“</w:t>
            </w:r>
          </w:p>
          <w:p>
            <w:pPr>
              <w:widowControl/>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2、根据《中华人民共和国劳动法》第七十二条：“社会保险基金按照保险类型确定资金来源，逐步实行社会统筹。用人单位和劳动者必须依法参加社会保险，缴纳</w:t>
            </w:r>
            <w:r>
              <w:rPr>
                <w:rFonts w:ascii="宋体" w:hAnsi="宋体" w:cs="宋体"/>
                <w:sz w:val="18"/>
                <w:szCs w:val="18"/>
                <w:shd w:val="clear" w:color="auto" w:fill="FFFFFF"/>
              </w:rPr>
              <w:fldChar w:fldCharType="begin"/>
            </w:r>
            <w:r>
              <w:rPr>
                <w:rFonts w:ascii="宋体" w:hAnsi="宋体" w:cs="宋体"/>
                <w:sz w:val="18"/>
                <w:szCs w:val="18"/>
                <w:shd w:val="clear" w:color="auto" w:fill="FFFFFF"/>
              </w:rPr>
              <w:instrText xml:space="preserve"> HYPERLINK "https://baike.baidu.com/item/%E7%A4%BE%E4%BC%9A%E4%BF%9D%E9%99%A9%E8%B4%B9" \t "https://baike.baidu.com/item/%E4%B8%AD%E5%8D%8E%E4%BA%BA%E6%B0%91%E5%85%B1%E5%92%8C%E5%9B%BD%E5%8A%B3%E5%8A%A8%E6%B3%95/_blank" </w:instrText>
            </w:r>
            <w:r>
              <w:rPr>
                <w:rFonts w:ascii="宋体" w:hAnsi="宋体" w:cs="宋体"/>
                <w:sz w:val="18"/>
                <w:szCs w:val="18"/>
                <w:shd w:val="clear" w:color="auto" w:fill="FFFFFF"/>
              </w:rPr>
              <w:fldChar w:fldCharType="separate"/>
            </w:r>
            <w:r>
              <w:rPr>
                <w:rFonts w:ascii="宋体" w:hAnsi="宋体" w:cs="宋体"/>
                <w:sz w:val="18"/>
                <w:szCs w:val="18"/>
                <w:shd w:val="clear" w:color="auto" w:fill="FFFFFF"/>
              </w:rPr>
              <w:t>社会保险费</w:t>
            </w:r>
            <w:r>
              <w:rPr>
                <w:rFonts w:ascii="宋体" w:hAnsi="宋体" w:cs="宋体"/>
                <w:sz w:val="18"/>
                <w:szCs w:val="18"/>
                <w:shd w:val="clear" w:color="auto" w:fill="FFFFFF"/>
              </w:rPr>
              <w:fldChar w:fldCharType="end"/>
            </w:r>
            <w:r>
              <w:rPr>
                <w:rFonts w:ascii="宋体" w:hAnsi="宋体" w:cs="宋体"/>
                <w:sz w:val="18"/>
                <w:szCs w:val="18"/>
                <w:shd w:val="clear" w:color="auto" w:fill="FFFFFF"/>
              </w:rPr>
              <w:t>。</w:t>
            </w:r>
            <w:r>
              <w:rPr>
                <w:rFonts w:hint="eastAsia" w:ascii="宋体" w:hAnsi="宋体" w:cs="宋体"/>
                <w:sz w:val="18"/>
                <w:szCs w:val="18"/>
                <w:shd w:val="clear" w:color="auto" w:fill="FFFFFF"/>
              </w:rPr>
              <w:t>”</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以企业提供的社保缴纳凭证及劳动合同复印件</w:t>
            </w:r>
            <w:r>
              <w:rPr>
                <w:rFonts w:hint="eastAsia" w:ascii="宋体" w:hAnsi="宋体" w:cs="宋体"/>
                <w:sz w:val="18"/>
                <w:szCs w:val="18"/>
                <w:shd w:val="clear" w:color="auto" w:fill="FFFFFF"/>
                <w:lang w:eastAsia="zh-CN"/>
              </w:rPr>
              <w:t>加盖公章</w:t>
            </w:r>
            <w:r>
              <w:rPr>
                <w:rFonts w:hint="eastAsia" w:ascii="宋体" w:hAnsi="宋体" w:cs="宋体"/>
                <w:sz w:val="18"/>
                <w:szCs w:val="18"/>
                <w:shd w:val="clear" w:color="auto" w:fill="FFFFFF"/>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55"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1.5.3文化活动及参与行业协会活动等</w:t>
            </w:r>
          </w:p>
        </w:tc>
        <w:tc>
          <w:tcPr>
            <w:tcW w:w="529" w:type="dxa"/>
            <w:tcMar>
              <w:top w:w="60" w:type="dxa"/>
              <w:left w:w="60" w:type="dxa"/>
              <w:bottom w:w="60" w:type="dxa"/>
              <w:right w:w="60" w:type="dxa"/>
            </w:tcMar>
            <w:vAlign w:val="center"/>
          </w:tcPr>
          <w:p>
            <w:pPr>
              <w:widowControl/>
              <w:jc w:val="center"/>
              <w:rPr>
                <w:rFonts w:hint="eastAsia" w:ascii="宋体" w:hAnsi="宋体" w:cs="宋体" w:eastAsiaTheme="minorEastAsia"/>
                <w:color w:val="000000"/>
                <w:szCs w:val="21"/>
                <w:shd w:val="clear" w:color="auto" w:fill="FFFFFF"/>
                <w:lang w:eastAsia="zh-CN"/>
              </w:rPr>
            </w:pPr>
            <w:r>
              <w:rPr>
                <w:rFonts w:hint="eastAsia" w:ascii="宋体" w:hAnsi="宋体" w:cs="宋体"/>
                <w:color w:val="000000"/>
                <w:szCs w:val="21"/>
                <w:shd w:val="clear" w:color="auto" w:fill="FFFFFF"/>
                <w:lang w:val="en-US" w:eastAsia="zh-CN"/>
              </w:rPr>
              <w:t>4</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年企业</w:t>
            </w:r>
            <w:r>
              <w:rPr>
                <w:rFonts w:hint="eastAsia" w:ascii="宋体" w:hAnsi="宋体" w:cs="宋体"/>
                <w:color w:val="000000"/>
                <w:kern w:val="0"/>
                <w:sz w:val="18"/>
                <w:szCs w:val="18"/>
                <w:lang w:bidi="ar"/>
              </w:rPr>
              <w:t>自身积极举办文体活动，丰富职工业余生活一次得2分，最高得</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分。</w:t>
            </w:r>
            <w:r>
              <w:rPr>
                <w:rFonts w:hint="eastAsia" w:ascii="宋体" w:hAnsi="宋体" w:cs="宋体"/>
                <w:color w:val="000000"/>
                <w:kern w:val="0"/>
                <w:sz w:val="18"/>
                <w:szCs w:val="18"/>
                <w:lang w:bidi="ar"/>
              </w:rPr>
              <w:br w:type="textWrapping"/>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w:t>
            </w:r>
            <w:r>
              <w:rPr>
                <w:rFonts w:hint="eastAsia" w:ascii="宋体" w:hAnsi="宋体" w:cs="宋体"/>
                <w:sz w:val="18"/>
                <w:szCs w:val="18"/>
                <w:shd w:val="clear" w:color="auto" w:fill="FFFFFF"/>
                <w:lang w:eastAsia="zh-CN"/>
              </w:rPr>
              <w:t>有效的</w:t>
            </w:r>
            <w:r>
              <w:rPr>
                <w:rFonts w:hint="eastAsia" w:ascii="宋体" w:hAnsi="宋体" w:cs="宋体"/>
                <w:sz w:val="18"/>
                <w:szCs w:val="18"/>
                <w:shd w:val="clear" w:color="auto" w:fill="FFFFFF"/>
              </w:rPr>
              <w:t>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1"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1.5.4行业责任与义务</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10</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eastAsia="zh-CN" w:bidi="ar"/>
              </w:rPr>
              <w:t>两</w:t>
            </w:r>
            <w:r>
              <w:rPr>
                <w:rFonts w:hint="eastAsia" w:ascii="宋体" w:hAnsi="宋体" w:cs="宋体"/>
                <w:color w:val="auto"/>
                <w:kern w:val="0"/>
                <w:sz w:val="18"/>
                <w:szCs w:val="18"/>
                <w:lang w:bidi="ar"/>
              </w:rPr>
              <w:t>年积</w:t>
            </w:r>
            <w:r>
              <w:rPr>
                <w:rFonts w:hint="eastAsia" w:ascii="宋体" w:hAnsi="宋体" w:cs="宋体"/>
                <w:color w:val="000000"/>
                <w:kern w:val="0"/>
                <w:sz w:val="18"/>
                <w:szCs w:val="18"/>
                <w:lang w:bidi="ar"/>
              </w:rPr>
              <w:t>极履行会员职责。及时缴纳会费，承担会员义务。</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根据贵州省建设工程招标投标协会章程第十二条第六款：“按规定缴纳会费。”</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以实际缴纳会费的凭据为准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5"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color w:val="000000"/>
                <w:kern w:val="0"/>
                <w:sz w:val="18"/>
                <w:szCs w:val="18"/>
                <w:lang w:bidi="ar"/>
              </w:rPr>
              <w:t>1.5.5行业自律</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4</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年企业</w:t>
            </w:r>
            <w:r>
              <w:rPr>
                <w:rFonts w:hint="eastAsia" w:ascii="宋体" w:hAnsi="宋体" w:cs="宋体"/>
                <w:color w:val="000000"/>
                <w:kern w:val="0"/>
                <w:sz w:val="18"/>
                <w:szCs w:val="18"/>
                <w:lang w:bidi="ar"/>
              </w:rPr>
              <w:t>积极参与并完成协会组织的有关行业自律的各项工作得2--4分，最高得4分。</w:t>
            </w:r>
          </w:p>
        </w:tc>
        <w:tc>
          <w:tcPr>
            <w:tcW w:w="5872" w:type="dxa"/>
            <w:gridSpan w:val="2"/>
            <w:vMerge w:val="restart"/>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根据《住房城乡建设部关于取消工程建设项目招标代理机构资格认定加强事中事后监管的通知》建办事（2017）77号第七条：“规范工程招标代理行为。支持行业协会研究制定从业机构和从业人员行为规范，发布行业自律公约，加强对招标代理机构和从业人员行为的约束和管理。”</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以参加协会组织的相关会议情况及企业反馈的书面意见和建议为准。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tblCellSpacing w:w="0" w:type="dxa"/>
          <w:jc w:val="center"/>
        </w:trPr>
        <w:tc>
          <w:tcPr>
            <w:tcW w:w="1324" w:type="dxa"/>
            <w:vMerge w:val="restart"/>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b/>
                <w:bCs/>
                <w:kern w:val="0"/>
                <w:sz w:val="18"/>
                <w:szCs w:val="18"/>
                <w:lang w:bidi="ar"/>
              </w:rPr>
              <w:t>1.6企业加分指标 (本项满分30)</w:t>
            </w:r>
          </w:p>
        </w:tc>
        <w:tc>
          <w:tcPr>
            <w:tcW w:w="1324" w:type="dxa"/>
            <w:vMerge w:val="restart"/>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cs="宋体"/>
                <w:color w:val="000000"/>
                <w:kern w:val="0"/>
                <w:sz w:val="18"/>
                <w:szCs w:val="18"/>
                <w:lang w:bidi="ar"/>
              </w:rPr>
              <w:t>1.6.1企业加分(按加分项实际得分累加)</w:t>
            </w: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上一届参加信用评价的企业加1分。</w:t>
            </w:r>
            <w:r>
              <w:rPr>
                <w:rFonts w:hint="eastAsia" w:ascii="宋体" w:hAnsi="宋体" w:cs="宋体"/>
                <w:color w:val="000000"/>
                <w:kern w:val="0"/>
                <w:sz w:val="18"/>
                <w:szCs w:val="18"/>
                <w:lang w:bidi="ar"/>
              </w:rPr>
              <w:t>5A企业加</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分；4A企业加3分；3A企业加2分</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2A企业加1分。</w:t>
            </w:r>
          </w:p>
        </w:tc>
        <w:tc>
          <w:tcPr>
            <w:tcW w:w="5872" w:type="dxa"/>
            <w:gridSpan w:val="2"/>
            <w:vMerge w:val="continue"/>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企业提供获奖证书复印件</w:t>
            </w:r>
            <w:r>
              <w:rPr>
                <w:rFonts w:hint="eastAsia" w:ascii="宋体" w:hAnsi="宋体" w:cs="宋体"/>
                <w:sz w:val="18"/>
                <w:szCs w:val="18"/>
                <w:shd w:val="clear" w:color="auto" w:fill="FFFFFF"/>
                <w:lang w:eastAsia="zh-CN"/>
              </w:rPr>
              <w:t>加盖公章</w:t>
            </w:r>
            <w:r>
              <w:rPr>
                <w:rFonts w:hint="eastAsia" w:ascii="宋体" w:hAnsi="宋体" w:cs="宋体"/>
                <w:sz w:val="18"/>
                <w:szCs w:val="18"/>
                <w:shd w:val="clear" w:color="auto" w:fill="FFFFFF"/>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3" w:hRule="atLeast"/>
          <w:tblCellSpacing w:w="0" w:type="dxa"/>
          <w:jc w:val="center"/>
        </w:trPr>
        <w:tc>
          <w:tcPr>
            <w:tcW w:w="1324" w:type="dxa"/>
            <w:vMerge w:val="continue"/>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p>
        </w:tc>
        <w:tc>
          <w:tcPr>
            <w:tcW w:w="1324" w:type="dxa"/>
            <w:vMerge w:val="continue"/>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auto"/>
                <w:kern w:val="0"/>
                <w:sz w:val="18"/>
                <w:szCs w:val="18"/>
                <w:lang w:bidi="ar"/>
              </w:rPr>
              <w:t>近</w:t>
            </w:r>
            <w:r>
              <w:rPr>
                <w:rFonts w:hint="eastAsia" w:ascii="宋体" w:hAnsi="宋体" w:cs="宋体"/>
                <w:color w:val="auto"/>
                <w:kern w:val="0"/>
                <w:sz w:val="18"/>
                <w:szCs w:val="18"/>
                <w:lang w:val="en-US" w:eastAsia="zh-CN" w:bidi="ar"/>
              </w:rPr>
              <w:t>两</w:t>
            </w:r>
            <w:r>
              <w:rPr>
                <w:rFonts w:hint="eastAsia" w:ascii="宋体" w:hAnsi="宋体" w:cs="宋体"/>
                <w:color w:val="auto"/>
                <w:kern w:val="0"/>
                <w:sz w:val="18"/>
                <w:szCs w:val="18"/>
                <w:lang w:bidi="ar"/>
              </w:rPr>
              <w:t>年</w:t>
            </w:r>
            <w:r>
              <w:rPr>
                <w:rFonts w:hint="eastAsia" w:ascii="宋体" w:hAnsi="宋体" w:eastAsia="宋体" w:cs="宋体"/>
                <w:b w:val="0"/>
                <w:i w:val="0"/>
                <w:caps w:val="0"/>
                <w:color w:val="auto"/>
                <w:spacing w:val="0"/>
                <w:sz w:val="18"/>
                <w:szCs w:val="18"/>
                <w:shd w:val="clear" w:fill="FFFFFF"/>
              </w:rPr>
              <w:t>企</w:t>
            </w:r>
            <w:r>
              <w:rPr>
                <w:rFonts w:hint="eastAsia" w:ascii="宋体" w:hAnsi="宋体" w:eastAsia="宋体" w:cs="宋体"/>
                <w:b w:val="0"/>
                <w:i w:val="0"/>
                <w:caps w:val="0"/>
                <w:color w:val="000000"/>
                <w:spacing w:val="0"/>
                <w:sz w:val="18"/>
                <w:szCs w:val="18"/>
                <w:shd w:val="clear" w:fill="FFFFFF"/>
              </w:rPr>
              <w:t>业及其从业人员严格按照《贵州省工程建设项目招标代理程序化标准》（中华人民共和国工程建设地方标准）从事招标代理活动加5分。</w:t>
            </w:r>
          </w:p>
        </w:tc>
        <w:tc>
          <w:tcPr>
            <w:tcW w:w="5872" w:type="dxa"/>
            <w:gridSpan w:val="2"/>
            <w:tcMar>
              <w:top w:w="60" w:type="dxa"/>
              <w:left w:w="60" w:type="dxa"/>
              <w:bottom w:w="60" w:type="dxa"/>
              <w:right w:w="60" w:type="dxa"/>
            </w:tcMar>
            <w:vAlign w:val="center"/>
          </w:tcPr>
          <w:p>
            <w:pPr>
              <w:widowControl/>
              <w:numPr>
                <w:ilvl w:val="0"/>
                <w:numId w:val="0"/>
              </w:numPr>
              <w:jc w:val="left"/>
              <w:rPr>
                <w:rFonts w:hint="eastAsia" w:ascii="宋体" w:hAnsi="宋体" w:eastAsia="宋体" w:cs="宋体"/>
                <w:sz w:val="18"/>
                <w:szCs w:val="18"/>
                <w:shd w:val="clear" w:color="auto" w:fill="FFFFFF"/>
                <w:lang w:val="en-US" w:eastAsia="zh-CN"/>
              </w:rPr>
            </w:pPr>
            <w:r>
              <w:rPr>
                <w:rFonts w:hint="eastAsia" w:ascii="宋体" w:hAnsi="宋体" w:eastAsia="宋体" w:cs="宋体"/>
                <w:b w:val="0"/>
                <w:i w:val="0"/>
                <w:caps w:val="0"/>
                <w:color w:val="000000"/>
                <w:spacing w:val="0"/>
                <w:sz w:val="18"/>
                <w:szCs w:val="18"/>
                <w:shd w:val="clear" w:fill="FFFFFF"/>
              </w:rPr>
              <w:t>1、根据《国家发展改革委关于进一步放开建设项目专业服务价格的通知》发改价格[2015]299号文件第二条：“经营者提供的服务，应当符合国家和行业有关标准规范，满足合同约定的服务内容和质量等要求，不得违反标准规范规定或合同约定，通过降低服务质量、减少服务内容等手段进行恶性竞争，扰乱正常市场秩序。”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2、根据《贵州省工程建设项目招标代理程序化标准》（中华人民共和国工程建设地方标准）文件规定。 根据贵州省住房和城乡建设厅发布的关于转发《住房和城乡建设部关于取消工程建设项目招标代理机构资格认定加强事中事后监管的通知》通知（黔建建通[2018] 24号</w:t>
            </w:r>
            <w:r>
              <w:rPr>
                <w:rFonts w:hint="eastAsia" w:ascii="宋体" w:hAnsi="宋体" w:eastAsia="宋体" w:cs="宋体"/>
                <w:b w:val="0"/>
                <w:i w:val="0"/>
                <w:caps w:val="0"/>
                <w:color w:val="000000"/>
                <w:spacing w:val="0"/>
                <w:sz w:val="18"/>
                <w:szCs w:val="18"/>
                <w:shd w:val="clear" w:fill="FFFFFF"/>
                <w:lang w:eastAsia="zh-CN"/>
              </w:rPr>
              <w:t>。</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协会专家委员会现场随机核实。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5"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10</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一、成立时间4年及4年以上的企业：</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（1）在贵州省内累计完成的建设类中标金额：</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4</w:t>
            </w:r>
            <w:r>
              <w:rPr>
                <w:rFonts w:hint="eastAsia" w:ascii="宋体" w:hAnsi="宋体" w:eastAsia="宋体" w:cs="宋体"/>
                <w:b w:val="0"/>
                <w:i w:val="0"/>
                <w:caps w:val="0"/>
                <w:color w:val="000000"/>
                <w:spacing w:val="0"/>
                <w:sz w:val="18"/>
                <w:szCs w:val="18"/>
                <w:shd w:val="clear" w:fill="FFFFFF"/>
              </w:rPr>
              <w:t>亿元≤中标金额，加5分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亿元≤中标金额＜</w:t>
            </w:r>
            <w:r>
              <w:rPr>
                <w:rFonts w:hint="eastAsia" w:ascii="宋体" w:hAnsi="宋体" w:eastAsia="宋体" w:cs="宋体"/>
                <w:b w:val="0"/>
                <w:i w:val="0"/>
                <w:caps w:val="0"/>
                <w:color w:val="000000"/>
                <w:spacing w:val="0"/>
                <w:sz w:val="18"/>
                <w:szCs w:val="18"/>
                <w:shd w:val="clear" w:fill="FFFFFF"/>
                <w:lang w:val="en-US" w:eastAsia="zh-CN"/>
              </w:rPr>
              <w:t>4</w:t>
            </w:r>
            <w:r>
              <w:rPr>
                <w:rFonts w:hint="eastAsia" w:ascii="宋体" w:hAnsi="宋体" w:eastAsia="宋体" w:cs="宋体"/>
                <w:b w:val="0"/>
                <w:i w:val="0"/>
                <w:caps w:val="0"/>
                <w:color w:val="000000"/>
                <w:spacing w:val="0"/>
                <w:sz w:val="18"/>
                <w:szCs w:val="18"/>
                <w:shd w:val="clear" w:fill="FFFFFF"/>
              </w:rPr>
              <w:t>亿元，加4分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2</w:t>
            </w:r>
            <w:r>
              <w:rPr>
                <w:rFonts w:hint="eastAsia" w:ascii="宋体" w:hAnsi="宋体" w:eastAsia="宋体" w:cs="宋体"/>
                <w:b w:val="0"/>
                <w:i w:val="0"/>
                <w:caps w:val="0"/>
                <w:color w:val="000000"/>
                <w:spacing w:val="0"/>
                <w:sz w:val="18"/>
                <w:szCs w:val="18"/>
                <w:shd w:val="clear" w:fill="FFFFFF"/>
              </w:rPr>
              <w:t>亿元≤中标金额＜</w:t>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亿元,加3分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1</w:t>
            </w:r>
            <w:r>
              <w:rPr>
                <w:rFonts w:hint="eastAsia" w:ascii="宋体" w:hAnsi="宋体" w:eastAsia="宋体" w:cs="宋体"/>
                <w:b w:val="0"/>
                <w:i w:val="0"/>
                <w:caps w:val="0"/>
                <w:color w:val="000000"/>
                <w:spacing w:val="0"/>
                <w:sz w:val="18"/>
                <w:szCs w:val="18"/>
                <w:shd w:val="clear" w:fill="FFFFFF"/>
              </w:rPr>
              <w:t>亿元≤中标金额＜</w:t>
            </w:r>
            <w:r>
              <w:rPr>
                <w:rFonts w:hint="eastAsia" w:ascii="宋体" w:hAnsi="宋体" w:eastAsia="宋体" w:cs="宋体"/>
                <w:b w:val="0"/>
                <w:i w:val="0"/>
                <w:caps w:val="0"/>
                <w:color w:val="000000"/>
                <w:spacing w:val="0"/>
                <w:sz w:val="18"/>
                <w:szCs w:val="18"/>
                <w:shd w:val="clear" w:fill="FFFFFF"/>
                <w:lang w:val="en-US" w:eastAsia="zh-CN"/>
              </w:rPr>
              <w:t>2</w:t>
            </w:r>
            <w:r>
              <w:rPr>
                <w:rFonts w:hint="eastAsia" w:ascii="宋体" w:hAnsi="宋体" w:eastAsia="宋体" w:cs="宋体"/>
                <w:b w:val="0"/>
                <w:i w:val="0"/>
                <w:caps w:val="0"/>
                <w:color w:val="000000"/>
                <w:spacing w:val="0"/>
                <w:sz w:val="18"/>
                <w:szCs w:val="18"/>
                <w:shd w:val="clear" w:fill="FFFFFF"/>
              </w:rPr>
              <w:t>亿元,加2分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1</w:t>
            </w:r>
            <w:r>
              <w:rPr>
                <w:rFonts w:hint="eastAsia" w:ascii="宋体" w:hAnsi="宋体" w:eastAsia="宋体" w:cs="宋体"/>
                <w:b w:val="0"/>
                <w:i w:val="0"/>
                <w:caps w:val="0"/>
                <w:color w:val="000000"/>
                <w:spacing w:val="0"/>
                <w:sz w:val="18"/>
                <w:szCs w:val="18"/>
                <w:shd w:val="clear" w:fill="FFFFFF"/>
              </w:rPr>
              <w:t>亿元以下</w:t>
            </w:r>
            <w:r>
              <w:rPr>
                <w:rFonts w:hint="eastAsia" w:ascii="宋体" w:hAnsi="宋体" w:eastAsia="宋体" w:cs="宋体"/>
                <w:b w:val="0"/>
                <w:i w:val="0"/>
                <w:caps w:val="0"/>
                <w:color w:val="000000"/>
                <w:spacing w:val="0"/>
                <w:sz w:val="18"/>
                <w:szCs w:val="18"/>
                <w:shd w:val="clear" w:fill="FFFFFF"/>
                <w:lang w:eastAsia="zh-CN"/>
              </w:rPr>
              <w:t>加</w:t>
            </w:r>
            <w:r>
              <w:rPr>
                <w:rFonts w:hint="eastAsia" w:ascii="宋体" w:hAnsi="宋体" w:eastAsia="宋体" w:cs="宋体"/>
                <w:b w:val="0"/>
                <w:i w:val="0"/>
                <w:caps w:val="0"/>
                <w:color w:val="000000"/>
                <w:spacing w:val="0"/>
                <w:sz w:val="18"/>
                <w:szCs w:val="18"/>
                <w:shd w:val="clear" w:fill="FFFFFF"/>
                <w:lang w:val="en-US" w:eastAsia="zh-CN"/>
              </w:rPr>
              <w:t>1分</w:t>
            </w:r>
            <w:r>
              <w:rPr>
                <w:rFonts w:hint="eastAsia" w:ascii="宋体" w:hAnsi="宋体" w:eastAsia="宋体" w:cs="宋体"/>
                <w:b w:val="0"/>
                <w:i w:val="0"/>
                <w:caps w:val="0"/>
                <w:color w:val="000000"/>
                <w:spacing w:val="0"/>
                <w:sz w:val="18"/>
                <w:szCs w:val="18"/>
                <w:shd w:val="clear" w:fill="FFFFFF"/>
              </w:rPr>
              <w:t>。</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（2）每年完成10个工程建设类项目的加一分，以此类推，最高加5分。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二、成立时间不满4年的企业：</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（1）在贵州省内累计完成的工程建设类中标金额：</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3亿元≤中标金额，加5分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2亿元≤中标金额＜3亿元，加4分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1亿元≤中标金额＜2亿元,加3分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5千万元≤中标金额＜1亿元,加2分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5千万</w:t>
            </w:r>
            <w:r>
              <w:rPr>
                <w:rFonts w:hint="eastAsia" w:ascii="宋体" w:hAnsi="宋体" w:eastAsia="宋体" w:cs="宋体"/>
                <w:b w:val="0"/>
                <w:i w:val="0"/>
                <w:caps w:val="0"/>
                <w:color w:val="auto"/>
                <w:spacing w:val="0"/>
                <w:sz w:val="18"/>
                <w:szCs w:val="18"/>
                <w:shd w:val="clear" w:fill="FFFFFF"/>
              </w:rPr>
              <w:t>元以下</w:t>
            </w:r>
            <w:r>
              <w:rPr>
                <w:rFonts w:hint="eastAsia" w:ascii="宋体" w:hAnsi="宋体" w:eastAsia="宋体" w:cs="宋体"/>
                <w:b w:val="0"/>
                <w:i w:val="0"/>
                <w:caps w:val="0"/>
                <w:color w:val="auto"/>
                <w:spacing w:val="0"/>
                <w:sz w:val="18"/>
                <w:szCs w:val="18"/>
                <w:shd w:val="clear" w:fill="FFFFFF"/>
                <w:lang w:eastAsia="zh-CN"/>
              </w:rPr>
              <w:t>加</w:t>
            </w:r>
            <w:r>
              <w:rPr>
                <w:rFonts w:hint="eastAsia" w:ascii="宋体" w:hAnsi="宋体" w:eastAsia="宋体" w:cs="宋体"/>
                <w:b w:val="0"/>
                <w:i w:val="0"/>
                <w:caps w:val="0"/>
                <w:color w:val="auto"/>
                <w:spacing w:val="0"/>
                <w:sz w:val="18"/>
                <w:szCs w:val="18"/>
                <w:shd w:val="clear" w:fill="FFFFFF"/>
                <w:lang w:val="en-US" w:eastAsia="zh-CN"/>
              </w:rPr>
              <w:t>1分</w:t>
            </w:r>
            <w:r>
              <w:rPr>
                <w:rFonts w:hint="eastAsia" w:ascii="宋体" w:hAnsi="宋体" w:eastAsia="宋体" w:cs="宋体"/>
                <w:b w:val="0"/>
                <w:i w:val="0"/>
                <w:caps w:val="0"/>
                <w:color w:val="auto"/>
                <w:spacing w:val="0"/>
                <w:sz w:val="18"/>
                <w:szCs w:val="18"/>
                <w:shd w:val="clear" w:fill="FFFFFF"/>
              </w:rPr>
              <w:t>。</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（2）每年完成10个工程建设类项目的加一分，以此类推，最高加5分。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根据《住房城乡建设部关于取消工程建设项目招标代理机构资格认定加强事中事后监管的通知》建办事（2017）77号第二条，基本资料向注册所在地市场监督管理局及省级建筑市场监管一体化平台报送，登记信息包含： </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1、营业执照相关信息；</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2、注册执业人员；</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3、具有工程建设类职称的专职人员；</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4、近3年代表性业绩；</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5、联系方式等。</w:t>
            </w: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eastAsia="宋体" w:cs="宋体"/>
                <w:b w:val="0"/>
                <w:i w:val="0"/>
                <w:caps w:val="0"/>
                <w:color w:val="000000"/>
                <w:spacing w:val="0"/>
                <w:sz w:val="18"/>
                <w:szCs w:val="18"/>
                <w:shd w:val="clear" w:fill="FFFFFF"/>
              </w:rPr>
              <w:t>以进交易中心的项目为准，提供招标公告和中标通知书复印件</w:t>
            </w:r>
            <w:r>
              <w:rPr>
                <w:rFonts w:hint="eastAsia" w:ascii="宋体" w:hAnsi="宋体" w:eastAsia="宋体" w:cs="宋体"/>
                <w:b w:val="0"/>
                <w:i w:val="0"/>
                <w:caps w:val="0"/>
                <w:color w:val="000000"/>
                <w:spacing w:val="0"/>
                <w:sz w:val="18"/>
                <w:szCs w:val="18"/>
                <w:shd w:val="clear" w:fill="FFFFFF"/>
                <w:lang w:eastAsia="zh-CN"/>
              </w:rPr>
              <w:t>加盖公章</w:t>
            </w:r>
            <w:r>
              <w:rPr>
                <w:rFonts w:hint="eastAsia" w:ascii="宋体" w:hAnsi="宋体" w:eastAsia="宋体" w:cs="宋体"/>
                <w:b w:val="0"/>
                <w:i w:val="0"/>
                <w:caps w:val="0"/>
                <w:color w:val="000000"/>
                <w:spacing w:val="0"/>
                <w:sz w:val="18"/>
                <w:szCs w:val="18"/>
                <w:shd w:val="clear" w:fill="FFFFFF"/>
              </w:rPr>
              <w:t>，原件备查。</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成立时间以营业执照载明的时间为准。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近</w:t>
            </w:r>
            <w:r>
              <w:rPr>
                <w:rFonts w:hint="eastAsia" w:ascii="宋体" w:hAnsi="宋体" w:cs="宋体"/>
                <w:color w:val="000000"/>
                <w:kern w:val="0"/>
                <w:sz w:val="18"/>
                <w:szCs w:val="18"/>
                <w:lang w:val="en-US" w:eastAsia="zh-CN" w:bidi="ar"/>
              </w:rPr>
              <w:t>五</w:t>
            </w:r>
            <w:r>
              <w:rPr>
                <w:rFonts w:hint="eastAsia" w:ascii="宋体" w:hAnsi="宋体" w:cs="宋体"/>
                <w:color w:val="000000"/>
                <w:kern w:val="0"/>
                <w:sz w:val="18"/>
                <w:szCs w:val="18"/>
                <w:lang w:bidi="ar"/>
              </w:rPr>
              <w:t>年内参与国家、行业标准、贵州省地方标准的主编或参编单位的加5分。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529" w:type="dxa"/>
            <w:tcMar>
              <w:top w:w="60" w:type="dxa"/>
              <w:left w:w="60" w:type="dxa"/>
              <w:bottom w:w="60" w:type="dxa"/>
              <w:right w:w="60" w:type="dxa"/>
            </w:tcMar>
            <w:vAlign w:val="center"/>
          </w:tcPr>
          <w:p>
            <w:pPr>
              <w:widowControl/>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3203"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eastAsia="宋体" w:cs="宋体"/>
                <w:b w:val="0"/>
                <w:i w:val="0"/>
                <w:caps w:val="0"/>
                <w:color w:val="000000"/>
                <w:spacing w:val="0"/>
                <w:sz w:val="18"/>
                <w:szCs w:val="18"/>
                <w:shd w:val="clear" w:fill="FFFFFF"/>
              </w:rPr>
              <w:t>近</w:t>
            </w:r>
            <w:r>
              <w:rPr>
                <w:rFonts w:hint="eastAsia" w:ascii="宋体" w:hAnsi="宋体" w:eastAsia="宋体" w:cs="宋体"/>
                <w:b w:val="0"/>
                <w:i w:val="0"/>
                <w:caps w:val="0"/>
                <w:color w:val="000000"/>
                <w:spacing w:val="0"/>
                <w:sz w:val="18"/>
                <w:szCs w:val="18"/>
                <w:shd w:val="clear" w:fill="FFFFFF"/>
                <w:lang w:eastAsia="zh-CN"/>
              </w:rPr>
              <w:t>两</w:t>
            </w:r>
            <w:r>
              <w:rPr>
                <w:rFonts w:hint="eastAsia" w:ascii="宋体" w:hAnsi="宋体" w:eastAsia="宋体" w:cs="宋体"/>
                <w:b w:val="0"/>
                <w:i w:val="0"/>
                <w:caps w:val="0"/>
                <w:color w:val="000000"/>
                <w:spacing w:val="0"/>
                <w:sz w:val="18"/>
                <w:szCs w:val="18"/>
                <w:shd w:val="clear" w:fill="FFFFFF"/>
              </w:rPr>
              <w:t>年内公司或公司在职人员在国家级期刊、报纸上发表与招标投标业务领域相关的专业文章的，每篇加2分。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近2年内公司或公司在职人员在本省级报刊、杂志上发表招标投标类专业文章，每篇加1分。</w:t>
            </w:r>
          </w:p>
        </w:tc>
        <w:tc>
          <w:tcPr>
            <w:tcW w:w="5872" w:type="dxa"/>
            <w:gridSpan w:val="2"/>
            <w:tcMar>
              <w:top w:w="60" w:type="dxa"/>
              <w:left w:w="60" w:type="dxa"/>
              <w:bottom w:w="60" w:type="dxa"/>
              <w:right w:w="60" w:type="dxa"/>
            </w:tcMar>
            <w:vAlign w:val="center"/>
          </w:tcPr>
          <w:p>
            <w:pPr>
              <w:widowControl/>
              <w:jc w:val="left"/>
              <w:rPr>
                <w:rFonts w:ascii="宋体" w:hAnsi="宋体" w:cs="宋体"/>
                <w:sz w:val="18"/>
                <w:szCs w:val="18"/>
                <w:shd w:val="clear" w:color="auto" w:fill="FFFFFF"/>
              </w:rPr>
            </w:pPr>
          </w:p>
        </w:tc>
        <w:tc>
          <w:tcPr>
            <w:tcW w:w="3595" w:type="dxa"/>
            <w:tcMar>
              <w:top w:w="60" w:type="dxa"/>
              <w:left w:w="60" w:type="dxa"/>
              <w:bottom w:w="60" w:type="dxa"/>
              <w:right w:w="60" w:type="dxa"/>
            </w:tcMar>
            <w:vAlign w:val="center"/>
          </w:tcPr>
          <w:p>
            <w:pPr>
              <w:widowControl/>
              <w:jc w:val="left"/>
              <w:rPr>
                <w:rFonts w:ascii="宋体" w:hAnsi="宋体" w:cs="宋体"/>
                <w:sz w:val="18"/>
                <w:szCs w:val="18"/>
                <w:shd w:val="clear" w:color="auto" w:fill="FFFFFF"/>
              </w:rPr>
            </w:pPr>
            <w:r>
              <w:rPr>
                <w:rFonts w:hint="eastAsia" w:ascii="宋体" w:hAnsi="宋体" w:cs="宋体"/>
                <w:sz w:val="18"/>
                <w:szCs w:val="18"/>
                <w:shd w:val="clear" w:color="auto" w:fill="FFFFFF"/>
              </w:rPr>
              <w:t>企业提供期刊、报刊、杂志复印件</w:t>
            </w:r>
            <w:r>
              <w:rPr>
                <w:rFonts w:hint="eastAsia" w:ascii="宋体" w:hAnsi="宋体" w:cs="宋体"/>
                <w:sz w:val="18"/>
                <w:szCs w:val="18"/>
                <w:shd w:val="clear" w:color="auto" w:fill="FFFFFF"/>
                <w:lang w:eastAsia="zh-CN"/>
              </w:rPr>
              <w:t>加盖公章</w:t>
            </w:r>
            <w:r>
              <w:rPr>
                <w:rFonts w:hint="eastAsia" w:ascii="宋体" w:hAnsi="宋体" w:cs="宋体"/>
                <w:sz w:val="18"/>
                <w:szCs w:val="18"/>
                <w:shd w:val="clear" w:color="auto" w:fill="FFFFFF"/>
              </w:rPr>
              <w:t>、报道或照片等证明材料，原件备查。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blCellSpacing w:w="0" w:type="dxa"/>
          <w:jc w:val="center"/>
        </w:trPr>
        <w:tc>
          <w:tcPr>
            <w:tcW w:w="1324" w:type="dxa"/>
            <w:vMerge w:val="restart"/>
            <w:tcMar>
              <w:top w:w="60" w:type="dxa"/>
              <w:left w:w="60" w:type="dxa"/>
              <w:bottom w:w="60" w:type="dxa"/>
              <w:right w:w="60" w:type="dxa"/>
            </w:tcMar>
            <w:vAlign w:val="center"/>
          </w:tcPr>
          <w:p>
            <w:pPr>
              <w:rPr>
                <w:rFonts w:ascii="仿宋" w:hAnsi="仿宋" w:eastAsia="仿宋" w:cs="仿宋"/>
                <w:szCs w:val="21"/>
              </w:rPr>
            </w:pPr>
            <w:r>
              <w:rPr>
                <w:rFonts w:hint="eastAsia" w:ascii="宋体" w:hAnsi="宋体" w:cs="宋体"/>
                <w:b/>
                <w:bCs/>
                <w:kern w:val="0"/>
                <w:sz w:val="18"/>
                <w:szCs w:val="18"/>
                <w:lang w:bidi="ar"/>
              </w:rPr>
              <w:t>1.7企业减分指标</w:t>
            </w: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1.7.1企业减分</w:t>
            </w:r>
          </w:p>
        </w:tc>
        <w:tc>
          <w:tcPr>
            <w:tcW w:w="529" w:type="dxa"/>
            <w:tcMar>
              <w:top w:w="60" w:type="dxa"/>
              <w:left w:w="60" w:type="dxa"/>
              <w:bottom w:w="60" w:type="dxa"/>
              <w:right w:w="60" w:type="dxa"/>
            </w:tcMar>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无上限</w:t>
            </w:r>
          </w:p>
        </w:tc>
        <w:tc>
          <w:tcPr>
            <w:tcW w:w="6131" w:type="dxa"/>
            <w:gridSpan w:val="2"/>
            <w:tcMar>
              <w:top w:w="60" w:type="dxa"/>
              <w:left w:w="60" w:type="dxa"/>
              <w:bottom w:w="60" w:type="dxa"/>
              <w:right w:w="60" w:type="dxa"/>
            </w:tcMar>
            <w:vAlign w:val="center"/>
          </w:tcPr>
          <w:p>
            <w:pPr>
              <w:widowControl/>
              <w:jc w:val="left"/>
              <w:rPr>
                <w:rFonts w:ascii="宋体" w:hAnsi="宋体" w:cs="宋体"/>
                <w:color w:val="000000"/>
                <w:szCs w:val="21"/>
                <w:shd w:val="clear" w:color="auto" w:fill="FFFFFF"/>
              </w:rPr>
            </w:pPr>
            <w:r>
              <w:rPr>
                <w:rFonts w:hint="eastAsia" w:ascii="宋体" w:hAnsi="宋体" w:eastAsia="宋体" w:cs="宋体"/>
                <w:b w:val="0"/>
                <w:i w:val="0"/>
                <w:caps w:val="0"/>
                <w:color w:val="000000"/>
                <w:spacing w:val="0"/>
                <w:sz w:val="18"/>
                <w:szCs w:val="18"/>
                <w:shd w:val="clear" w:fill="FFFFFF"/>
              </w:rPr>
              <w:t>近5年内企业有下列情形的，扣减相应分数：</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1、企业没有建立完善的诚信自律制度，扣5分。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2、与所代理招标工程的投标人有隶属关系、合作经营关系以及其他利益关系，扣10分。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3、从事同一工程建设项目的招标代理和投标咨询活动，扣10分。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4、明知委托事项违法而进行代理，扣10分。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5、泄露与招标投标活动有关的应当保密的情况和资料，扣10分。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6、与招标人或者投标人串通，损害国家利益、社会公共利益和他人合法权益，扣10分。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7、对有关行政监督部门依法责令改正的决定拒不执行或者以弄虚作假方式隐瞒真相，扣10分。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8、不按照与招标人订立的合同履行义务，情节严重的，扣10分。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9、一年内无工程建设项目招标代理业务的，扣10分。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10、企业及个人未依法履行纳税义务的，扣10分。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11、企业法定代表人（或在黔机构负责人）在经营活动中因违法行为被追究刑事责任的，扣10分。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12、法律、法规和规章禁止的其他行为，扣10分。</w:t>
            </w:r>
          </w:p>
        </w:tc>
        <w:tc>
          <w:tcPr>
            <w:tcW w:w="6539" w:type="dxa"/>
            <w:gridSpan w:val="2"/>
            <w:vMerge w:val="restart"/>
            <w:tcMar>
              <w:top w:w="60" w:type="dxa"/>
              <w:left w:w="60" w:type="dxa"/>
              <w:bottom w:w="60" w:type="dxa"/>
              <w:right w:w="60" w:type="dxa"/>
            </w:tcMar>
            <w:vAlign w:val="center"/>
          </w:tcPr>
          <w:p>
            <w:pPr>
              <w:widowControl/>
              <w:numPr>
                <w:ilvl w:val="0"/>
                <w:numId w:val="0"/>
              </w:numPr>
              <w:jc w:val="left"/>
              <w:rPr>
                <w:rFonts w:ascii="宋体" w:hAnsi="宋体" w:cs="宋体"/>
                <w:kern w:val="0"/>
                <w:sz w:val="18"/>
                <w:szCs w:val="18"/>
                <w:lang w:bidi="ar"/>
              </w:rPr>
            </w:pPr>
            <w:r>
              <w:rPr>
                <w:rFonts w:hint="eastAsia" w:ascii="宋体" w:hAnsi="宋体" w:eastAsia="宋体" w:cs="宋体"/>
                <w:b w:val="0"/>
                <w:i w:val="0"/>
                <w:caps w:val="0"/>
                <w:color w:val="000000"/>
                <w:spacing w:val="0"/>
                <w:sz w:val="18"/>
                <w:szCs w:val="18"/>
                <w:shd w:val="clear" w:fill="FFFFFF"/>
              </w:rPr>
              <w:t>1、根据《国务院关于印发社会信用体系建设规划纲要（2014—2020年）的通知》国发〔2014〕21号第五条： 完善以奖惩制度为重点的社会信用体系运行机制，第一点：构建守信激励和失信惩戒机制。</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2、根据国家发展改革委关于《进一步放开建设项目专业服务价格的通知》发改价格〔2015〕299号第五条： 加强信用体系建设。加快推进省级建筑市场监管一体化工作平台建设，规范招标代理机构信用信息采集、报送机制，加大信息公开力度，强化信用信息应用，推进部门之间信用信息共享共用。加快建立失信联合惩戒机制，强化信用对招标代理机构的约束作用，构建“一处失信、处处受制”的市场环境。</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3</w:t>
            </w:r>
            <w:r>
              <w:rPr>
                <w:rFonts w:hint="eastAsia" w:ascii="宋体" w:hAnsi="宋体" w:eastAsia="宋体" w:cs="宋体"/>
                <w:b w:val="0"/>
                <w:i w:val="0"/>
                <w:caps w:val="0"/>
                <w:color w:val="000000"/>
                <w:spacing w:val="0"/>
                <w:sz w:val="18"/>
                <w:szCs w:val="18"/>
                <w:shd w:val="clear" w:fill="FFFFFF"/>
              </w:rPr>
              <w:t>、根据《中华人民共和国招标投标法实施条例》第四十四条：招标人应当按照招标文件规定的时间、地点开标。</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4</w:t>
            </w:r>
            <w:r>
              <w:rPr>
                <w:rFonts w:hint="eastAsia" w:ascii="宋体" w:hAnsi="宋体" w:eastAsia="宋体" w:cs="宋体"/>
                <w:b w:val="0"/>
                <w:i w:val="0"/>
                <w:caps w:val="0"/>
                <w:color w:val="000000"/>
                <w:spacing w:val="0"/>
                <w:sz w:val="18"/>
                <w:szCs w:val="18"/>
                <w:shd w:val="clear" w:fill="FFFFFF"/>
              </w:rPr>
              <w:t>、根据《工程建设项目招标代理机构资格认定办法》第154号第九条第二十五款规定。</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lang w:val="en-US" w:eastAsia="zh-CN"/>
              </w:rPr>
              <w:t>5</w:t>
            </w:r>
            <w:r>
              <w:rPr>
                <w:rFonts w:hint="eastAsia" w:ascii="宋体" w:hAnsi="宋体" w:eastAsia="宋体" w:cs="宋体"/>
                <w:b w:val="0"/>
                <w:i w:val="0"/>
                <w:caps w:val="0"/>
                <w:color w:val="000000"/>
                <w:spacing w:val="0"/>
                <w:sz w:val="18"/>
                <w:szCs w:val="18"/>
                <w:shd w:val="clear" w:fill="FFFFFF"/>
              </w:rPr>
              <w:t>、根据根据《中华人民共和国招标投标法实施条例》第六十三条第（一）款规定。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8" w:hRule="atLeast"/>
          <w:tblCellSpacing w:w="0" w:type="dxa"/>
          <w:jc w:val="center"/>
        </w:trPr>
        <w:tc>
          <w:tcPr>
            <w:tcW w:w="1324" w:type="dxa"/>
            <w:vMerge w:val="continue"/>
            <w:tcMar>
              <w:top w:w="60" w:type="dxa"/>
              <w:left w:w="60" w:type="dxa"/>
              <w:bottom w:w="60" w:type="dxa"/>
              <w:right w:w="60" w:type="dxa"/>
            </w:tcMar>
            <w:vAlign w:val="center"/>
          </w:tcPr>
          <w:p>
            <w:pPr>
              <w:rPr>
                <w:rFonts w:ascii="仿宋" w:hAnsi="仿宋" w:eastAsia="仿宋" w:cs="仿宋"/>
                <w:szCs w:val="21"/>
              </w:rPr>
            </w:pPr>
          </w:p>
        </w:tc>
        <w:tc>
          <w:tcPr>
            <w:tcW w:w="1324" w:type="dxa"/>
            <w:tcMar>
              <w:top w:w="60" w:type="dxa"/>
              <w:left w:w="60" w:type="dxa"/>
              <w:bottom w:w="60" w:type="dxa"/>
              <w:right w:w="60"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1.7.2项目减分</w:t>
            </w:r>
          </w:p>
        </w:tc>
        <w:tc>
          <w:tcPr>
            <w:tcW w:w="529" w:type="dxa"/>
            <w:tcMar>
              <w:top w:w="60" w:type="dxa"/>
              <w:left w:w="60" w:type="dxa"/>
              <w:bottom w:w="60" w:type="dxa"/>
              <w:right w:w="60" w:type="dxa"/>
            </w:tcMar>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无上限</w:t>
            </w:r>
          </w:p>
        </w:tc>
        <w:tc>
          <w:tcPr>
            <w:tcW w:w="6131" w:type="dxa"/>
            <w:gridSpan w:val="2"/>
            <w:tcMar>
              <w:top w:w="60" w:type="dxa"/>
              <w:left w:w="60" w:type="dxa"/>
              <w:bottom w:w="60" w:type="dxa"/>
              <w:right w:w="60" w:type="dxa"/>
            </w:tcMar>
            <w:vAlign w:val="center"/>
          </w:tcPr>
          <w:p>
            <w:pPr>
              <w:widowControl/>
              <w:jc w:val="left"/>
              <w:rPr>
                <w:rFonts w:ascii="宋体" w:hAnsi="宋体" w:cs="宋体"/>
                <w:color w:val="000000"/>
                <w:sz w:val="18"/>
                <w:szCs w:val="18"/>
                <w:shd w:val="clear" w:color="auto" w:fill="FFFFFF"/>
              </w:rPr>
            </w:pPr>
            <w:r>
              <w:rPr>
                <w:rFonts w:hint="eastAsia" w:ascii="宋体" w:hAnsi="宋体" w:eastAsia="宋体" w:cs="宋体"/>
                <w:b w:val="0"/>
                <w:i w:val="0"/>
                <w:caps w:val="0"/>
                <w:color w:val="000000"/>
                <w:spacing w:val="0"/>
                <w:sz w:val="18"/>
                <w:szCs w:val="18"/>
                <w:shd w:val="clear" w:fill="FFFFFF"/>
              </w:rPr>
              <w:t>1、未按照招标文件规定的时间和地点组织开标的，扣10分；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2、擅自修改经招标人同意并加盖了招标人公章的工程招标文件，扣10分。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3、未经招标人书面同意，转让工程招标代理业务，扣10分。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4、依法必须公开招标的项目不按照规定在指定媒介发布招标公告或中标候选人公示的，扣10分。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5、项目在评标过程中违法违规干扰评标专家评标的，扣5分。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6、因招标代理机构自身原因不按照规定时间发出中标通知书的，扣5分。</w:t>
            </w:r>
          </w:p>
        </w:tc>
        <w:tc>
          <w:tcPr>
            <w:tcW w:w="6539" w:type="dxa"/>
            <w:gridSpan w:val="2"/>
            <w:vMerge w:val="continue"/>
            <w:tcMar>
              <w:top w:w="60" w:type="dxa"/>
              <w:left w:w="60" w:type="dxa"/>
              <w:bottom w:w="60" w:type="dxa"/>
              <w:right w:w="60" w:type="dxa"/>
            </w:tcMar>
            <w:vAlign w:val="center"/>
          </w:tcPr>
          <w:p>
            <w:pPr>
              <w:widowControl/>
              <w:jc w:val="left"/>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648" w:type="dxa"/>
            <w:gridSpan w:val="2"/>
            <w:tcMar>
              <w:top w:w="60" w:type="dxa"/>
              <w:left w:w="60" w:type="dxa"/>
              <w:bottom w:w="60" w:type="dxa"/>
              <w:right w:w="60" w:type="dxa"/>
            </w:tcMar>
            <w:vAlign w:val="center"/>
          </w:tcPr>
          <w:p>
            <w:pPr>
              <w:widowControl/>
              <w:jc w:val="left"/>
              <w:rPr>
                <w:rFonts w:ascii="仿宋" w:hAnsi="仿宋" w:eastAsia="仿宋" w:cs="仿宋"/>
                <w:szCs w:val="21"/>
              </w:rPr>
            </w:pPr>
            <w:r>
              <w:rPr>
                <w:rFonts w:hint="eastAsia" w:ascii="宋体" w:hAnsi="宋体" w:cs="宋体"/>
                <w:b/>
                <w:bCs/>
                <w:kern w:val="0"/>
                <w:sz w:val="18"/>
                <w:szCs w:val="18"/>
                <w:lang w:bidi="ar"/>
              </w:rPr>
              <w:t>1.8企业严重失信行为</w:t>
            </w:r>
          </w:p>
        </w:tc>
        <w:tc>
          <w:tcPr>
            <w:tcW w:w="529" w:type="dxa"/>
            <w:tcMar>
              <w:top w:w="60" w:type="dxa"/>
              <w:left w:w="60" w:type="dxa"/>
              <w:bottom w:w="60" w:type="dxa"/>
              <w:right w:w="60" w:type="dxa"/>
            </w:tcMar>
            <w:vAlign w:val="center"/>
          </w:tcPr>
          <w:p>
            <w:pPr>
              <w:widowControl/>
              <w:jc w:val="center"/>
              <w:rPr>
                <w:rFonts w:ascii="仿宋" w:hAnsi="仿宋" w:eastAsia="仿宋" w:cs="仿宋"/>
                <w:szCs w:val="21"/>
              </w:rPr>
            </w:pPr>
            <w:r>
              <w:rPr>
                <w:rFonts w:hint="eastAsia" w:ascii="仿宋" w:hAnsi="仿宋" w:eastAsia="仿宋" w:cs="仿宋"/>
                <w:kern w:val="0"/>
                <w:szCs w:val="21"/>
                <w:lang w:bidi="ar"/>
              </w:rPr>
              <w:t>/</w:t>
            </w:r>
          </w:p>
        </w:tc>
        <w:tc>
          <w:tcPr>
            <w:tcW w:w="6131" w:type="dxa"/>
            <w:gridSpan w:val="2"/>
            <w:tcMar>
              <w:top w:w="60" w:type="dxa"/>
              <w:left w:w="60" w:type="dxa"/>
              <w:bottom w:w="60" w:type="dxa"/>
              <w:right w:w="60" w:type="dxa"/>
            </w:tcMar>
            <w:vAlign w:val="center"/>
          </w:tcPr>
          <w:p>
            <w:pPr>
              <w:widowControl/>
              <w:jc w:val="left"/>
              <w:rPr>
                <w:rFonts w:ascii="宋体" w:hAnsi="宋体" w:cs="宋体"/>
                <w:color w:val="000000"/>
                <w:sz w:val="18"/>
                <w:szCs w:val="18"/>
                <w:shd w:val="clear" w:color="auto" w:fill="FFFFFF"/>
              </w:rPr>
            </w:pPr>
            <w:r>
              <w:rPr>
                <w:rFonts w:hint="eastAsia" w:ascii="宋体" w:hAnsi="宋体" w:eastAsia="宋体" w:cs="宋体"/>
                <w:b w:val="0"/>
                <w:i w:val="0"/>
                <w:caps w:val="0"/>
                <w:color w:val="000000"/>
                <w:spacing w:val="0"/>
                <w:sz w:val="18"/>
                <w:szCs w:val="18"/>
                <w:shd w:val="clear" w:fill="FFFFFF"/>
              </w:rPr>
              <w:t>有下列情形之一的，为严重失信企业，上报主管部门予以处理：</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1、采取行贿、提供回扣或者给予其他不正当利益等手段承接工程招标代理业务。</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2、在《贵州省建筑业管理和公共服务平台》及《贵州省建设工程招标投标协会专职员管理系统》中弄虚作假，提供虚假材料的。</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3、省外企业在黔从事招标代理活动实际工作人员与在黔登记专职人员不相符的。</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4、其他违反国家法律或行政法规行为的。</w:t>
            </w:r>
          </w:p>
        </w:tc>
        <w:tc>
          <w:tcPr>
            <w:tcW w:w="6539" w:type="dxa"/>
            <w:gridSpan w:val="2"/>
            <w:tcMar>
              <w:top w:w="60" w:type="dxa"/>
              <w:left w:w="60" w:type="dxa"/>
              <w:bottom w:w="60" w:type="dxa"/>
              <w:right w:w="60" w:type="dxa"/>
            </w:tcMar>
            <w:vAlign w:val="center"/>
          </w:tcPr>
          <w:p>
            <w:pPr>
              <w:widowControl/>
              <w:jc w:val="left"/>
              <w:rPr>
                <w:rFonts w:ascii="宋体" w:hAnsi="宋体" w:cs="宋体"/>
                <w:szCs w:val="21"/>
                <w:shd w:val="clear" w:color="auto" w:fill="FFFFFF"/>
              </w:rPr>
            </w:pPr>
            <w:r>
              <w:rPr>
                <w:rFonts w:hint="eastAsia" w:ascii="宋体" w:hAnsi="宋体" w:eastAsia="宋体" w:cs="宋体"/>
                <w:b w:val="0"/>
                <w:i w:val="0"/>
                <w:caps w:val="0"/>
                <w:color w:val="000000"/>
                <w:spacing w:val="0"/>
                <w:sz w:val="18"/>
                <w:szCs w:val="18"/>
                <w:shd w:val="clear" w:fill="FFFFFF"/>
              </w:rPr>
              <w:t>1、根据《工程建设项目招标代理机构资格认定办法》第154号第九条第二十五款规定。</w:t>
            </w:r>
            <w:r>
              <w:rPr>
                <w:rFonts w:hint="eastAsia" w:ascii="宋体" w:hAnsi="宋体" w:eastAsia="宋体" w:cs="宋体"/>
                <w:b w:val="0"/>
                <w:i w:val="0"/>
                <w:caps w:val="0"/>
                <w:color w:val="000000"/>
                <w:spacing w:val="0"/>
                <w:sz w:val="18"/>
                <w:szCs w:val="18"/>
                <w:shd w:val="clear" w:fill="FFFFFF"/>
              </w:rPr>
              <w:br w:type="textWrapping"/>
            </w:r>
            <w:r>
              <w:rPr>
                <w:rFonts w:hint="eastAsia" w:ascii="宋体" w:hAnsi="宋体" w:eastAsia="宋体" w:cs="宋体"/>
                <w:b w:val="0"/>
                <w:i w:val="0"/>
                <w:caps w:val="0"/>
                <w:color w:val="000000"/>
                <w:spacing w:val="0"/>
                <w:sz w:val="18"/>
                <w:szCs w:val="18"/>
                <w:shd w:val="clear" w:fill="FFFFFF"/>
              </w:rPr>
              <w:t>2、根据《建筑市场信用管理暂行办法》第四章：建筑市场主体“黑名单”。</w:t>
            </w:r>
          </w:p>
        </w:tc>
      </w:tr>
    </w:tbl>
    <w:p>
      <w:pPr>
        <w:rPr>
          <w:vanish/>
          <w:sz w:val="24"/>
        </w:rPr>
      </w:pPr>
    </w:p>
    <w:p/>
    <w:p>
      <w:pPr>
        <w:spacing w:after="156" w:afterLines="50" w:line="360" w:lineRule="auto"/>
        <w:rPr>
          <w:rFonts w:hint="eastAsia" w:eastAsia="宋体"/>
          <w:bCs/>
          <w:color w:val="auto"/>
          <w:sz w:val="28"/>
          <w:szCs w:val="28"/>
          <w:highlight w:val="none"/>
          <w:lang w:val="en-US" w:eastAsia="zh-CN"/>
        </w:rPr>
        <w:sectPr>
          <w:footnotePr>
            <w:numFmt w:val="decimal"/>
          </w:footnotePr>
          <w:pgSz w:w="16838" w:h="11906" w:orient="landscape"/>
          <w:pgMar w:top="1531" w:right="2098" w:bottom="1531" w:left="2098" w:header="851" w:footer="992" w:gutter="0"/>
          <w:cols w:space="720" w:num="1"/>
          <w:docGrid w:type="lines" w:linePitch="312" w:charSpace="0"/>
        </w:sectPr>
      </w:pPr>
      <w:r>
        <w:rPr>
          <w:rFonts w:ascii="宋体" w:hAnsi="宋体" w:eastAsia="宋体" w:cs="宋体"/>
          <w:b w:val="0"/>
          <w:i w:val="0"/>
          <w:caps w:val="0"/>
          <w:color w:val="auto"/>
          <w:spacing w:val="0"/>
          <w:sz w:val="18"/>
          <w:szCs w:val="18"/>
          <w:highlight w:val="none"/>
          <w:shd w:val="clear" w:fill="FFFFFF"/>
        </w:rPr>
        <w:t>说明：企业基本信用评价满分为150分，工程建设类招标代理企业信用等级的评定根据信用分值设定，分为4个等级。130分（含130分）以上的为A</w:t>
      </w:r>
      <w:r>
        <w:rPr>
          <w:rFonts w:hint="eastAsia" w:ascii="宋体" w:hAnsi="宋体" w:eastAsia="宋体" w:cs="宋体"/>
          <w:b w:val="0"/>
          <w:i w:val="0"/>
          <w:caps w:val="0"/>
          <w:color w:val="auto"/>
          <w:spacing w:val="0"/>
          <w:sz w:val="18"/>
          <w:szCs w:val="18"/>
          <w:highlight w:val="none"/>
          <w:shd w:val="clear" w:fill="FFFFFF"/>
          <w:lang w:val="en-US" w:eastAsia="zh-CN"/>
        </w:rPr>
        <w:t>AAAA</w:t>
      </w:r>
      <w:r>
        <w:rPr>
          <w:rFonts w:ascii="宋体" w:hAnsi="宋体" w:eastAsia="宋体" w:cs="宋体"/>
          <w:b w:val="0"/>
          <w:i w:val="0"/>
          <w:caps w:val="0"/>
          <w:color w:val="auto"/>
          <w:spacing w:val="0"/>
          <w:sz w:val="18"/>
          <w:szCs w:val="18"/>
          <w:highlight w:val="none"/>
          <w:shd w:val="clear" w:fill="FFFFFF"/>
        </w:rPr>
        <w:t>级，表示信用优秀；110-129分的为</w:t>
      </w:r>
      <w:r>
        <w:rPr>
          <w:rFonts w:hint="eastAsia" w:ascii="宋体" w:hAnsi="宋体" w:eastAsia="宋体" w:cs="宋体"/>
          <w:b w:val="0"/>
          <w:i w:val="0"/>
          <w:caps w:val="0"/>
          <w:color w:val="auto"/>
          <w:spacing w:val="0"/>
          <w:sz w:val="18"/>
          <w:szCs w:val="18"/>
          <w:highlight w:val="none"/>
          <w:shd w:val="clear" w:fill="FFFFFF"/>
          <w:lang w:val="en-US" w:eastAsia="zh-CN"/>
        </w:rPr>
        <w:t>AAAA</w:t>
      </w:r>
      <w:r>
        <w:rPr>
          <w:rFonts w:ascii="宋体" w:hAnsi="宋体" w:eastAsia="宋体" w:cs="宋体"/>
          <w:b w:val="0"/>
          <w:i w:val="0"/>
          <w:caps w:val="0"/>
          <w:color w:val="auto"/>
          <w:spacing w:val="0"/>
          <w:sz w:val="18"/>
          <w:szCs w:val="18"/>
          <w:highlight w:val="none"/>
          <w:shd w:val="clear" w:fill="FFFFFF"/>
        </w:rPr>
        <w:t>级，表示信用良好；100-109分为</w:t>
      </w:r>
      <w:r>
        <w:rPr>
          <w:rFonts w:hint="eastAsia" w:ascii="宋体" w:hAnsi="宋体" w:eastAsia="宋体" w:cs="宋体"/>
          <w:b w:val="0"/>
          <w:i w:val="0"/>
          <w:caps w:val="0"/>
          <w:color w:val="auto"/>
          <w:spacing w:val="0"/>
          <w:sz w:val="18"/>
          <w:szCs w:val="18"/>
          <w:highlight w:val="none"/>
          <w:shd w:val="clear" w:fill="FFFFFF"/>
          <w:lang w:val="en-US" w:eastAsia="zh-CN"/>
        </w:rPr>
        <w:t>AAA</w:t>
      </w:r>
      <w:r>
        <w:rPr>
          <w:rFonts w:ascii="宋体" w:hAnsi="宋体" w:eastAsia="宋体" w:cs="宋体"/>
          <w:b w:val="0"/>
          <w:i w:val="0"/>
          <w:caps w:val="0"/>
          <w:color w:val="auto"/>
          <w:spacing w:val="0"/>
          <w:sz w:val="18"/>
          <w:szCs w:val="18"/>
          <w:highlight w:val="none"/>
          <w:shd w:val="clear" w:fill="FFFFFF"/>
        </w:rPr>
        <w:t>级,表示信用一般。100分以下的（不含100分）为</w:t>
      </w:r>
      <w:r>
        <w:rPr>
          <w:rFonts w:hint="eastAsia" w:ascii="宋体" w:hAnsi="宋体" w:eastAsia="宋体" w:cs="宋体"/>
          <w:b w:val="0"/>
          <w:i w:val="0"/>
          <w:caps w:val="0"/>
          <w:color w:val="auto"/>
          <w:spacing w:val="0"/>
          <w:sz w:val="18"/>
          <w:szCs w:val="18"/>
          <w:highlight w:val="none"/>
          <w:shd w:val="clear" w:fill="FFFFFF"/>
          <w:lang w:val="en-US" w:eastAsia="zh-CN"/>
        </w:rPr>
        <w:t>AA</w:t>
      </w:r>
      <w:r>
        <w:rPr>
          <w:rFonts w:ascii="宋体" w:hAnsi="宋体" w:eastAsia="宋体" w:cs="宋体"/>
          <w:b w:val="0"/>
          <w:i w:val="0"/>
          <w:caps w:val="0"/>
          <w:color w:val="auto"/>
          <w:spacing w:val="0"/>
          <w:sz w:val="18"/>
          <w:szCs w:val="18"/>
          <w:highlight w:val="none"/>
          <w:shd w:val="clear" w:fill="FFFFFF"/>
        </w:rPr>
        <w:t>级,表示信用较差。严重失信企业表示信用极差。 对A</w:t>
      </w:r>
      <w:r>
        <w:rPr>
          <w:rFonts w:hint="eastAsia" w:ascii="宋体" w:hAnsi="宋体" w:eastAsia="宋体" w:cs="宋体"/>
          <w:b w:val="0"/>
          <w:i w:val="0"/>
          <w:caps w:val="0"/>
          <w:color w:val="auto"/>
          <w:spacing w:val="0"/>
          <w:sz w:val="18"/>
          <w:szCs w:val="18"/>
          <w:highlight w:val="none"/>
          <w:shd w:val="clear" w:fill="FFFFFF"/>
          <w:lang w:val="en-US" w:eastAsia="zh-CN"/>
        </w:rPr>
        <w:t>AAAA</w:t>
      </w:r>
      <w:r>
        <w:rPr>
          <w:rFonts w:ascii="宋体" w:hAnsi="宋体" w:eastAsia="宋体" w:cs="宋体"/>
          <w:b w:val="0"/>
          <w:i w:val="0"/>
          <w:caps w:val="0"/>
          <w:color w:val="auto"/>
          <w:spacing w:val="0"/>
          <w:sz w:val="18"/>
          <w:szCs w:val="18"/>
          <w:highlight w:val="none"/>
          <w:shd w:val="clear" w:fill="FFFFFF"/>
        </w:rPr>
        <w:t>级企业，向社会公示，实施简化监督和低频率的日常检查，具体包括政府控股或占主导地位的工程可优先选择A</w:t>
      </w:r>
      <w:r>
        <w:rPr>
          <w:rFonts w:hint="eastAsia" w:ascii="宋体" w:hAnsi="宋体" w:eastAsia="宋体" w:cs="宋体"/>
          <w:b w:val="0"/>
          <w:i w:val="0"/>
          <w:caps w:val="0"/>
          <w:color w:val="auto"/>
          <w:spacing w:val="0"/>
          <w:sz w:val="18"/>
          <w:szCs w:val="18"/>
          <w:highlight w:val="none"/>
          <w:shd w:val="clear" w:fill="FFFFFF"/>
          <w:lang w:val="en-US" w:eastAsia="zh-CN"/>
        </w:rPr>
        <w:t>AAAA</w:t>
      </w:r>
      <w:r>
        <w:rPr>
          <w:rFonts w:ascii="宋体" w:hAnsi="宋体" w:eastAsia="宋体" w:cs="宋体"/>
          <w:b w:val="0"/>
          <w:i w:val="0"/>
          <w:caps w:val="0"/>
          <w:color w:val="auto"/>
          <w:spacing w:val="0"/>
          <w:sz w:val="18"/>
          <w:szCs w:val="18"/>
          <w:highlight w:val="none"/>
          <w:shd w:val="clear" w:fill="FFFFFF"/>
        </w:rPr>
        <w:t>级企业，在评比表彰中，予以优先推荐，并在相关媒体上予以宣传; 对</w:t>
      </w:r>
      <w:r>
        <w:rPr>
          <w:rFonts w:hint="eastAsia" w:ascii="宋体" w:hAnsi="宋体" w:eastAsia="宋体" w:cs="宋体"/>
          <w:b w:val="0"/>
          <w:i w:val="0"/>
          <w:caps w:val="0"/>
          <w:color w:val="auto"/>
          <w:spacing w:val="0"/>
          <w:sz w:val="18"/>
          <w:szCs w:val="18"/>
          <w:highlight w:val="none"/>
          <w:shd w:val="clear" w:fill="FFFFFF"/>
          <w:lang w:val="en-US" w:eastAsia="zh-CN"/>
        </w:rPr>
        <w:t>AAAA</w:t>
      </w:r>
      <w:r>
        <w:rPr>
          <w:rFonts w:ascii="宋体" w:hAnsi="宋体" w:eastAsia="宋体" w:cs="宋体"/>
          <w:b w:val="0"/>
          <w:i w:val="0"/>
          <w:caps w:val="0"/>
          <w:color w:val="auto"/>
          <w:spacing w:val="0"/>
          <w:sz w:val="18"/>
          <w:szCs w:val="18"/>
          <w:highlight w:val="none"/>
          <w:shd w:val="clear" w:fill="FFFFFF"/>
        </w:rPr>
        <w:t>级企业实行预警机制，实施常规监督和适度频率的日常检查;对</w:t>
      </w:r>
      <w:r>
        <w:rPr>
          <w:rFonts w:hint="eastAsia" w:ascii="宋体" w:hAnsi="宋体" w:eastAsia="宋体" w:cs="宋体"/>
          <w:b w:val="0"/>
          <w:i w:val="0"/>
          <w:caps w:val="0"/>
          <w:color w:val="auto"/>
          <w:spacing w:val="0"/>
          <w:sz w:val="18"/>
          <w:szCs w:val="18"/>
          <w:highlight w:val="none"/>
          <w:shd w:val="clear" w:fill="FFFFFF"/>
          <w:lang w:val="en-US" w:eastAsia="zh-CN"/>
        </w:rPr>
        <w:t>AAA</w:t>
      </w:r>
      <w:r>
        <w:rPr>
          <w:rFonts w:ascii="宋体" w:hAnsi="宋体" w:eastAsia="宋体" w:cs="宋体"/>
          <w:b w:val="0"/>
          <w:i w:val="0"/>
          <w:caps w:val="0"/>
          <w:color w:val="auto"/>
          <w:spacing w:val="0"/>
          <w:sz w:val="18"/>
          <w:szCs w:val="18"/>
          <w:highlight w:val="none"/>
          <w:shd w:val="clear" w:fill="FFFFFF"/>
        </w:rPr>
        <w:t>级企业实行防范与监管并重机制，实施强化监管和较高频率的日常检查，并列入专项检查的重点监管对象。 对</w:t>
      </w:r>
      <w:r>
        <w:rPr>
          <w:rFonts w:hint="eastAsia" w:ascii="宋体" w:hAnsi="宋体" w:eastAsia="宋体" w:cs="宋体"/>
          <w:b w:val="0"/>
          <w:i w:val="0"/>
          <w:caps w:val="0"/>
          <w:color w:val="auto"/>
          <w:spacing w:val="0"/>
          <w:sz w:val="18"/>
          <w:szCs w:val="18"/>
          <w:highlight w:val="none"/>
          <w:shd w:val="clear" w:fill="FFFFFF"/>
          <w:lang w:val="en-US" w:eastAsia="zh-CN"/>
        </w:rPr>
        <w:t>AA</w:t>
      </w:r>
      <w:r>
        <w:rPr>
          <w:rFonts w:ascii="宋体" w:hAnsi="宋体" w:eastAsia="宋体" w:cs="宋体"/>
          <w:b w:val="0"/>
          <w:i w:val="0"/>
          <w:caps w:val="0"/>
          <w:color w:val="auto"/>
          <w:spacing w:val="0"/>
          <w:sz w:val="18"/>
          <w:szCs w:val="18"/>
          <w:highlight w:val="none"/>
          <w:shd w:val="clear" w:fill="FFFFFF"/>
        </w:rPr>
        <w:t>级企业，向社会公示，将实行重点防范，实施警告制度、行业重点监管和高频率的日常检查，同时列为专项检查重点监管</w:t>
      </w:r>
      <w:r>
        <w:rPr>
          <w:rFonts w:hint="eastAsia" w:ascii="宋体" w:hAnsi="宋体" w:eastAsia="宋体" w:cs="宋体"/>
          <w:b w:val="0"/>
          <w:i w:val="0"/>
          <w:caps w:val="0"/>
          <w:color w:val="auto"/>
          <w:spacing w:val="0"/>
          <w:sz w:val="18"/>
          <w:szCs w:val="18"/>
          <w:highlight w:val="none"/>
          <w:shd w:val="clear" w:fill="FFFFFF"/>
          <w:lang w:eastAsia="zh-CN"/>
        </w:rPr>
        <w:t>。</w:t>
      </w:r>
      <w:bookmarkStart w:id="0" w:name="_GoBack"/>
      <w:bookmarkEnd w:id="0"/>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82D6B"/>
    <w:rsid w:val="075D746E"/>
    <w:rsid w:val="07A95F66"/>
    <w:rsid w:val="08D35044"/>
    <w:rsid w:val="08D42710"/>
    <w:rsid w:val="0B8F072C"/>
    <w:rsid w:val="0D996887"/>
    <w:rsid w:val="0E372F1C"/>
    <w:rsid w:val="15682D6B"/>
    <w:rsid w:val="18595845"/>
    <w:rsid w:val="2F70701C"/>
    <w:rsid w:val="3089656F"/>
    <w:rsid w:val="334A4834"/>
    <w:rsid w:val="34945FED"/>
    <w:rsid w:val="3DF27539"/>
    <w:rsid w:val="428E3C44"/>
    <w:rsid w:val="4A112617"/>
    <w:rsid w:val="50B4206B"/>
    <w:rsid w:val="56D15E77"/>
    <w:rsid w:val="5B1E7078"/>
    <w:rsid w:val="61124E0D"/>
    <w:rsid w:val="656226A7"/>
    <w:rsid w:val="685A63E6"/>
    <w:rsid w:val="6A1A307C"/>
    <w:rsid w:val="6EA067A2"/>
    <w:rsid w:val="6F8C391D"/>
    <w:rsid w:val="79966AFD"/>
    <w:rsid w:val="7B9F1F91"/>
    <w:rsid w:val="7E333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2018-05-03T02:29:00Z</dcterms:created>
  <dc:creator>WPS_134485142</dc:creator>
  <cp:lastModifiedBy>勺子阵地</cp:lastModifiedBy>
  <dcterms:modified xsi:type="dcterms:W3CDTF">2020-10-09T03:42:23Z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